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CC" w:rsidRPr="00B50D58" w:rsidRDefault="00FA4419" w:rsidP="00BD26ED">
      <w:pPr>
        <w:spacing w:before="120" w:after="120"/>
        <w:jc w:val="center"/>
        <w:rPr>
          <w:b/>
          <w:bCs/>
          <w:sz w:val="28"/>
          <w:szCs w:val="28"/>
        </w:rPr>
      </w:pPr>
      <w:bookmarkStart w:id="0" w:name="_GoBack"/>
      <w:bookmarkEnd w:id="0"/>
      <w:r w:rsidRPr="00B50D58">
        <w:rPr>
          <w:b/>
          <w:bCs/>
          <w:sz w:val="28"/>
          <w:szCs w:val="28"/>
        </w:rPr>
        <w:t>Action Plan and Implementation Timeline</w:t>
      </w:r>
      <w:r w:rsidRPr="00B50D58">
        <w:rPr>
          <w:b/>
          <w:bCs/>
          <w:iCs/>
          <w:sz w:val="28"/>
          <w:szCs w:val="28"/>
        </w:rPr>
        <w:t xml:space="preserve"> </w:t>
      </w:r>
      <w:r w:rsidRPr="00B50D58">
        <w:rPr>
          <w:b/>
          <w:bCs/>
          <w:sz w:val="28"/>
          <w:szCs w:val="28"/>
        </w:rPr>
        <w:t>for KOICA</w:t>
      </w:r>
    </w:p>
    <w:p w:rsidR="00FA4419" w:rsidRPr="00B50D58" w:rsidRDefault="00BC71C3" w:rsidP="00BD26ED">
      <w:pPr>
        <w:spacing w:before="120" w:after="120"/>
        <w:jc w:val="center"/>
        <w:rPr>
          <w:b/>
          <w:bCs/>
          <w:sz w:val="28"/>
          <w:szCs w:val="28"/>
        </w:rPr>
      </w:pPr>
      <w:r w:rsidRPr="00B50D58">
        <w:rPr>
          <w:b/>
          <w:bCs/>
          <w:sz w:val="28"/>
          <w:szCs w:val="28"/>
        </w:rPr>
        <w:t>2019</w:t>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FA4419" w:rsidRPr="00F24575" w:rsidTr="00C67730">
        <w:tc>
          <w:tcPr>
            <w:tcW w:w="5000" w:type="pct"/>
            <w:shd w:val="clear" w:color="auto" w:fill="808080" w:themeFill="background1" w:themeFillShade="80"/>
            <w:vAlign w:val="center"/>
          </w:tcPr>
          <w:p w:rsidR="00FA4419" w:rsidRPr="00F24575" w:rsidRDefault="00FA4419" w:rsidP="008E2137">
            <w:pPr>
              <w:spacing w:before="120" w:after="120"/>
              <w:jc w:val="center"/>
              <w:rPr>
                <w:b/>
              </w:rPr>
            </w:pPr>
            <w:r w:rsidRPr="00F24575">
              <w:rPr>
                <w:b/>
              </w:rPr>
              <w:t xml:space="preserve">Project Title:    </w:t>
            </w:r>
            <w:r w:rsidRPr="00F24575">
              <w:rPr>
                <w:b/>
                <w:bCs/>
              </w:rPr>
              <w:t xml:space="preserve"> Strengthening The Competition Regime in Pakistan</w:t>
            </w:r>
          </w:p>
        </w:tc>
      </w:tr>
      <w:tr w:rsidR="00C2187D" w:rsidRPr="00F24575" w:rsidTr="00C67730">
        <w:tc>
          <w:tcPr>
            <w:tcW w:w="5000" w:type="pct"/>
            <w:shd w:val="clear" w:color="auto" w:fill="808080" w:themeFill="background1" w:themeFillShade="80"/>
            <w:vAlign w:val="center"/>
          </w:tcPr>
          <w:p w:rsidR="00C2187D" w:rsidRPr="00F04282" w:rsidRDefault="00C2187D" w:rsidP="00C2187D">
            <w:pPr>
              <w:spacing w:before="120" w:after="120"/>
            </w:pPr>
            <w:r w:rsidRPr="00F04282">
              <w:rPr>
                <w:b/>
              </w:rPr>
              <w:t>Project Period Goal:</w:t>
            </w:r>
            <w:r w:rsidRPr="00F04282">
              <w:t xml:space="preserve">  </w:t>
            </w:r>
          </w:p>
          <w:p w:rsidR="00C2187D" w:rsidRPr="00F04282" w:rsidRDefault="00C2187D" w:rsidP="00C2187D">
            <w:pPr>
              <w:autoSpaceDE w:val="0"/>
              <w:autoSpaceDN w:val="0"/>
              <w:adjustRightInd w:val="0"/>
              <w:spacing w:before="120" w:after="120" w:line="276" w:lineRule="auto"/>
              <w:rPr>
                <w:b/>
                <w:i/>
                <w:color w:val="000000"/>
              </w:rPr>
            </w:pPr>
            <w:r w:rsidRPr="00F04282">
              <w:rPr>
                <w:b/>
                <w:i/>
                <w:color w:val="000000"/>
              </w:rPr>
              <w:t>The possible effect or result if the project period goal is achieved.</w:t>
            </w:r>
          </w:p>
          <w:p w:rsidR="00C2187D" w:rsidRPr="00F04282" w:rsidRDefault="00C2187D" w:rsidP="00C2187D">
            <w:pPr>
              <w:autoSpaceDE w:val="0"/>
              <w:autoSpaceDN w:val="0"/>
              <w:adjustRightInd w:val="0"/>
              <w:spacing w:before="120" w:after="120" w:line="276" w:lineRule="auto"/>
              <w:rPr>
                <w:color w:val="000000"/>
              </w:rPr>
            </w:pPr>
            <w:r w:rsidRPr="00F04282">
              <w:rPr>
                <w:color w:val="000000"/>
              </w:rPr>
              <w:t>The project is expected to have both short term and long term effects on improving enforcement and advocacy functions of the CCP. Mainly, the following objectives are expected to be achieved:</w:t>
            </w:r>
          </w:p>
          <w:p w:rsidR="00C2187D" w:rsidRPr="00F04282" w:rsidRDefault="00C2187D" w:rsidP="00C2187D">
            <w:pPr>
              <w:autoSpaceDE w:val="0"/>
              <w:autoSpaceDN w:val="0"/>
              <w:adjustRightInd w:val="0"/>
              <w:spacing w:before="120" w:after="120" w:line="276" w:lineRule="auto"/>
              <w:rPr>
                <w:color w:val="000000"/>
              </w:rPr>
            </w:pPr>
          </w:p>
          <w:p w:rsidR="00B82CFB" w:rsidRPr="00F04282" w:rsidRDefault="00336984" w:rsidP="00205A7C">
            <w:pPr>
              <w:pStyle w:val="ListParagraph"/>
              <w:numPr>
                <w:ilvl w:val="0"/>
                <w:numId w:val="1"/>
              </w:numPr>
              <w:autoSpaceDE w:val="0"/>
              <w:autoSpaceDN w:val="0"/>
              <w:adjustRightInd w:val="0"/>
              <w:spacing w:before="120" w:after="120" w:line="276" w:lineRule="auto"/>
              <w:ind w:left="337"/>
              <w:rPr>
                <w:color w:val="000000"/>
              </w:rPr>
            </w:pPr>
            <w:r w:rsidRPr="00F04282">
              <w:rPr>
                <w:b/>
                <w:color w:val="000000"/>
              </w:rPr>
              <w:t>Enforcement:</w:t>
            </w:r>
            <w:r w:rsidRPr="00F04282">
              <w:rPr>
                <w:color w:val="000000"/>
              </w:rPr>
              <w:t xml:space="preserve"> The project outcomes shall help in strengthening the CCP’s enforcement capacity, particularly in the areas of cartel investigations, L</w:t>
            </w:r>
            <w:r w:rsidRPr="00F04282">
              <w:rPr>
                <w:color w:val="000000"/>
              </w:rPr>
              <w:t>eniency</w:t>
            </w:r>
            <w:r w:rsidRPr="00F04282">
              <w:rPr>
                <w:color w:val="000000"/>
              </w:rPr>
              <w:t xml:space="preserve"> and Deceptive Marketing Practices. </w:t>
            </w:r>
          </w:p>
          <w:p w:rsidR="00E81951" w:rsidRPr="00F04282" w:rsidRDefault="00B82CFB" w:rsidP="00205A7C">
            <w:pPr>
              <w:pStyle w:val="ListParagraph"/>
              <w:numPr>
                <w:ilvl w:val="0"/>
                <w:numId w:val="1"/>
              </w:numPr>
              <w:autoSpaceDE w:val="0"/>
              <w:autoSpaceDN w:val="0"/>
              <w:adjustRightInd w:val="0"/>
              <w:spacing w:before="120" w:after="120" w:line="276" w:lineRule="auto"/>
              <w:ind w:left="337"/>
              <w:rPr>
                <w:color w:val="000000"/>
              </w:rPr>
            </w:pPr>
            <w:r w:rsidRPr="00F04282">
              <w:rPr>
                <w:b/>
                <w:color w:val="000000"/>
              </w:rPr>
              <w:t>Advocacy:</w:t>
            </w:r>
            <w:r w:rsidRPr="00F04282">
              <w:rPr>
                <w:color w:val="000000"/>
              </w:rPr>
              <w:t xml:space="preserve"> Undertaking advocacy efforts aimed at increasing effectiveness of the relevant initiatives through extensive awareness pro</w:t>
            </w:r>
            <w:r w:rsidRPr="00F04282">
              <w:rPr>
                <w:color w:val="000000"/>
              </w:rPr>
              <w:t>grams amongst all stakeholders.</w:t>
            </w:r>
          </w:p>
          <w:p w:rsidR="00C2187D" w:rsidRPr="00F04282" w:rsidRDefault="00E81951" w:rsidP="00205A7C">
            <w:pPr>
              <w:pStyle w:val="ListParagraph"/>
              <w:numPr>
                <w:ilvl w:val="0"/>
                <w:numId w:val="1"/>
              </w:numPr>
              <w:autoSpaceDE w:val="0"/>
              <w:autoSpaceDN w:val="0"/>
              <w:adjustRightInd w:val="0"/>
              <w:spacing w:before="120" w:after="120" w:line="276" w:lineRule="auto"/>
              <w:ind w:left="337"/>
              <w:rPr>
                <w:color w:val="000000"/>
              </w:rPr>
            </w:pPr>
            <w:r w:rsidRPr="00F04282">
              <w:rPr>
                <w:b/>
                <w:color w:val="000000"/>
              </w:rPr>
              <w:t>Information Systems and Technology</w:t>
            </w:r>
            <w:r w:rsidR="00E15E9A" w:rsidRPr="00F04282">
              <w:rPr>
                <w:b/>
                <w:color w:val="000000"/>
              </w:rPr>
              <w:t xml:space="preserve">: </w:t>
            </w:r>
            <w:r w:rsidR="00E15E9A" w:rsidRPr="00F04282">
              <w:rPr>
                <w:color w:val="000000"/>
              </w:rPr>
              <w:t>Implementation of a Bid Rigging Indicator Analysis System (BRIAS) will ensure the early detection of Bid Rigging Cartels and enable CCP to effectively enforce Section 4 of the Competition Act, 2010.</w:t>
            </w:r>
          </w:p>
          <w:p w:rsidR="004B2C8A" w:rsidRPr="00F04282" w:rsidRDefault="004B2C8A" w:rsidP="00205A7C">
            <w:pPr>
              <w:pStyle w:val="ListParagraph"/>
              <w:numPr>
                <w:ilvl w:val="0"/>
                <w:numId w:val="1"/>
              </w:numPr>
              <w:autoSpaceDE w:val="0"/>
              <w:autoSpaceDN w:val="0"/>
              <w:adjustRightInd w:val="0"/>
              <w:spacing w:before="120" w:after="120" w:line="276" w:lineRule="auto"/>
              <w:ind w:left="337"/>
              <w:rPr>
                <w:color w:val="000000"/>
              </w:rPr>
            </w:pPr>
            <w:r w:rsidRPr="00F04282">
              <w:rPr>
                <w:b/>
                <w:color w:val="000000"/>
              </w:rPr>
              <w:t>OFT:</w:t>
            </w:r>
            <w:r w:rsidRPr="00F04282">
              <w:rPr>
                <w:color w:val="000000"/>
              </w:rPr>
              <w:t xml:space="preserve"> Consumer protection related guidelines will help achieve CCP’s goal of spreading awareness regarding Section 10 of the Competition Act, 2010.</w:t>
            </w:r>
          </w:p>
          <w:p w:rsidR="004B2C8A" w:rsidRPr="00F04282" w:rsidRDefault="004B2C8A" w:rsidP="00205A7C">
            <w:pPr>
              <w:pStyle w:val="ListParagraph"/>
              <w:numPr>
                <w:ilvl w:val="0"/>
                <w:numId w:val="1"/>
              </w:numPr>
              <w:autoSpaceDE w:val="0"/>
              <w:autoSpaceDN w:val="0"/>
              <w:adjustRightInd w:val="0"/>
              <w:spacing w:before="120" w:after="120" w:line="276" w:lineRule="auto"/>
              <w:ind w:left="337"/>
              <w:rPr>
                <w:color w:val="000000"/>
              </w:rPr>
            </w:pPr>
            <w:r w:rsidRPr="00F04282">
              <w:rPr>
                <w:b/>
                <w:color w:val="000000"/>
              </w:rPr>
              <w:t>OIEA:</w:t>
            </w:r>
            <w:r w:rsidRPr="00F04282">
              <w:rPr>
                <w:color w:val="000000"/>
              </w:rPr>
              <w:t xml:space="preserve"> Memorandum of Understanding with the KFTC on information sharing and collaboration will enable CCP to achieve case outcomes that are consistent with those of KFCT in international cartel cases and global Merger and Acquisition transactions.</w:t>
            </w:r>
          </w:p>
          <w:p w:rsidR="00C2187D" w:rsidRPr="00F04282" w:rsidRDefault="00C2187D" w:rsidP="008E2137">
            <w:pPr>
              <w:spacing w:before="120" w:after="120"/>
              <w:jc w:val="center"/>
              <w:rPr>
                <w:b/>
              </w:rPr>
            </w:pPr>
          </w:p>
        </w:tc>
      </w:tr>
    </w:tbl>
    <w:p w:rsidR="005976EC" w:rsidRDefault="005976EC">
      <w:r>
        <w:br w:type="page"/>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608"/>
        <w:gridCol w:w="2606"/>
        <w:gridCol w:w="523"/>
        <w:gridCol w:w="523"/>
        <w:gridCol w:w="523"/>
        <w:gridCol w:w="523"/>
        <w:gridCol w:w="1922"/>
        <w:gridCol w:w="1466"/>
      </w:tblGrid>
      <w:tr w:rsidR="00F37070" w:rsidRPr="00F24575" w:rsidTr="006A41C5">
        <w:trPr>
          <w:trHeight w:val="338"/>
        </w:trPr>
        <w:tc>
          <w:tcPr>
            <w:tcW w:w="871"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lastRenderedPageBreak/>
              <w:t>Annual Objectives</w:t>
            </w:r>
          </w:p>
        </w:tc>
        <w:tc>
          <w:tcPr>
            <w:tcW w:w="1007"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Measure(s) of Success</w:t>
            </w:r>
          </w:p>
        </w:tc>
        <w:tc>
          <w:tcPr>
            <w:tcW w:w="1006"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Activities</w:t>
            </w:r>
          </w:p>
        </w:tc>
        <w:tc>
          <w:tcPr>
            <w:tcW w:w="202"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Q1</w:t>
            </w:r>
          </w:p>
        </w:tc>
        <w:tc>
          <w:tcPr>
            <w:tcW w:w="202"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Q2</w:t>
            </w:r>
          </w:p>
        </w:tc>
        <w:tc>
          <w:tcPr>
            <w:tcW w:w="202"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Q3</w:t>
            </w:r>
          </w:p>
        </w:tc>
        <w:tc>
          <w:tcPr>
            <w:tcW w:w="202"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Q4</w:t>
            </w:r>
          </w:p>
        </w:tc>
        <w:tc>
          <w:tcPr>
            <w:tcW w:w="742"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Team Member Responsible</w:t>
            </w:r>
          </w:p>
        </w:tc>
        <w:tc>
          <w:tcPr>
            <w:tcW w:w="566" w:type="pct"/>
            <w:shd w:val="clear" w:color="auto" w:fill="808080" w:themeFill="background1" w:themeFillShade="80"/>
            <w:vAlign w:val="center"/>
          </w:tcPr>
          <w:p w:rsidR="00FA4419" w:rsidRPr="00F24575" w:rsidRDefault="00FA4419" w:rsidP="00833F02">
            <w:pPr>
              <w:spacing w:before="120" w:after="120"/>
              <w:jc w:val="center"/>
              <w:rPr>
                <w:b/>
              </w:rPr>
            </w:pPr>
            <w:r w:rsidRPr="00F24575">
              <w:rPr>
                <w:b/>
              </w:rPr>
              <w:t>Completion Date</w:t>
            </w:r>
          </w:p>
        </w:tc>
      </w:tr>
      <w:tr w:rsidR="00F24575" w:rsidRPr="00F24575" w:rsidTr="006A41C5">
        <w:trPr>
          <w:trHeight w:val="890"/>
        </w:trPr>
        <w:tc>
          <w:tcPr>
            <w:tcW w:w="871" w:type="pct"/>
            <w:vAlign w:val="center"/>
          </w:tcPr>
          <w:p w:rsidR="00F37070" w:rsidRDefault="00F37070" w:rsidP="00F37070">
            <w:pPr>
              <w:rPr>
                <w:color w:val="000000"/>
              </w:rPr>
            </w:pPr>
          </w:p>
          <w:p w:rsidR="00F37070" w:rsidRDefault="00F37070" w:rsidP="00F37070">
            <w:pPr>
              <w:rPr>
                <w:color w:val="000000"/>
              </w:rPr>
            </w:pPr>
          </w:p>
          <w:p w:rsidR="003C22F7" w:rsidRPr="00F24575" w:rsidRDefault="003C22F7" w:rsidP="00F37070">
            <w:pPr>
              <w:rPr>
                <w:color w:val="000000"/>
              </w:rPr>
            </w:pPr>
            <w:r w:rsidRPr="00F24575">
              <w:rPr>
                <w:color w:val="000000"/>
              </w:rPr>
              <w:t xml:space="preserve">Payment of 3% of fee and charges </w:t>
            </w:r>
            <w:r w:rsidR="00BC71C3" w:rsidRPr="00F24575">
              <w:rPr>
                <w:color w:val="000000"/>
              </w:rPr>
              <w:t>levied</w:t>
            </w:r>
            <w:r w:rsidRPr="00F24575">
              <w:rPr>
                <w:color w:val="000000"/>
              </w:rPr>
              <w:t xml:space="preserve"> by 5 regulators to support CCP</w:t>
            </w:r>
            <w:r w:rsidR="00CE23FB">
              <w:rPr>
                <w:rStyle w:val="FootnoteReference"/>
                <w:color w:val="000000"/>
              </w:rPr>
              <w:footnoteReference w:id="1"/>
            </w:r>
          </w:p>
          <w:p w:rsidR="009E5836" w:rsidRPr="00F24575" w:rsidRDefault="009E5836" w:rsidP="003C22F7">
            <w:pPr>
              <w:autoSpaceDE w:val="0"/>
              <w:autoSpaceDN w:val="0"/>
              <w:adjustRightInd w:val="0"/>
              <w:spacing w:before="120" w:after="120" w:line="276" w:lineRule="auto"/>
              <w:rPr>
                <w:b/>
                <w:bCs/>
                <w:color w:val="000000"/>
              </w:rPr>
            </w:pPr>
          </w:p>
        </w:tc>
        <w:tc>
          <w:tcPr>
            <w:tcW w:w="1007" w:type="pct"/>
            <w:vAlign w:val="center"/>
          </w:tcPr>
          <w:p w:rsidR="009E5836" w:rsidRPr="00F24575" w:rsidRDefault="00FB3391" w:rsidP="00205A7C">
            <w:pPr>
              <w:pStyle w:val="ListParagraph"/>
              <w:numPr>
                <w:ilvl w:val="0"/>
                <w:numId w:val="15"/>
              </w:numPr>
              <w:spacing w:before="120" w:after="120"/>
              <w:ind w:left="421"/>
            </w:pPr>
            <w:r w:rsidRPr="00F24575">
              <w:t>Issuance of SRO</w:t>
            </w:r>
            <w:r w:rsidR="00CE23FB">
              <w:rPr>
                <w:rStyle w:val="FootnoteReference"/>
              </w:rPr>
              <w:footnoteReference w:id="2"/>
            </w:r>
            <w:r w:rsidR="00FF7AD4" w:rsidRPr="00F24575">
              <w:t xml:space="preserve"> will help CCP to be financially independent to carry out </w:t>
            </w:r>
            <w:r w:rsidR="00F37070" w:rsidRPr="00F24575">
              <w:t>at least</w:t>
            </w:r>
            <w:r w:rsidR="00FF7AD4" w:rsidRPr="00F24575">
              <w:t xml:space="preserve"> 3 Researches annually</w:t>
            </w:r>
            <w:r w:rsidR="00F37070">
              <w:t>.</w:t>
            </w:r>
            <w:r w:rsidR="00FF7AD4" w:rsidRPr="00F24575">
              <w:t xml:space="preserve">  </w:t>
            </w:r>
          </w:p>
        </w:tc>
        <w:tc>
          <w:tcPr>
            <w:tcW w:w="1006" w:type="pct"/>
            <w:vAlign w:val="center"/>
          </w:tcPr>
          <w:p w:rsidR="009E5836" w:rsidRPr="00F24575" w:rsidRDefault="00716D9D" w:rsidP="00205A7C">
            <w:pPr>
              <w:pStyle w:val="ListParagraph"/>
              <w:numPr>
                <w:ilvl w:val="0"/>
                <w:numId w:val="4"/>
              </w:numPr>
              <w:spacing w:before="120" w:after="120"/>
              <w:ind w:left="295" w:hanging="295"/>
              <w:rPr>
                <w:color w:val="000000"/>
              </w:rPr>
            </w:pPr>
            <w:r w:rsidRPr="00F24575">
              <w:rPr>
                <w:color w:val="000000"/>
              </w:rPr>
              <w:t>Correspondence</w:t>
            </w:r>
            <w:r w:rsidR="00FB3391" w:rsidRPr="00F24575">
              <w:rPr>
                <w:color w:val="000000"/>
              </w:rPr>
              <w:t xml:space="preserve"> with the 5 Regulators.</w:t>
            </w:r>
          </w:p>
          <w:p w:rsidR="00FB3391" w:rsidRPr="00F24575" w:rsidRDefault="00FB3391" w:rsidP="00205A7C">
            <w:pPr>
              <w:pStyle w:val="ListParagraph"/>
              <w:numPr>
                <w:ilvl w:val="0"/>
                <w:numId w:val="4"/>
              </w:numPr>
              <w:spacing w:before="120" w:after="120"/>
              <w:ind w:left="295" w:hanging="295"/>
              <w:rPr>
                <w:color w:val="000000"/>
              </w:rPr>
            </w:pPr>
            <w:r w:rsidRPr="00F24575">
              <w:rPr>
                <w:color w:val="000000"/>
              </w:rPr>
              <w:t xml:space="preserve">Meeting/Consultation with the </w:t>
            </w:r>
            <w:proofErr w:type="spellStart"/>
            <w:r w:rsidRPr="00F24575">
              <w:rPr>
                <w:color w:val="000000"/>
              </w:rPr>
              <w:t>MoF</w:t>
            </w:r>
            <w:proofErr w:type="spellEnd"/>
            <w:r w:rsidR="00CE23FB">
              <w:rPr>
                <w:rStyle w:val="FootnoteReference"/>
                <w:color w:val="000000"/>
              </w:rPr>
              <w:footnoteReference w:id="3"/>
            </w:r>
          </w:p>
          <w:p w:rsidR="00FB3391" w:rsidRPr="00F24575" w:rsidRDefault="00FB3391" w:rsidP="00205A7C">
            <w:pPr>
              <w:pStyle w:val="ListParagraph"/>
              <w:numPr>
                <w:ilvl w:val="0"/>
                <w:numId w:val="4"/>
              </w:numPr>
              <w:spacing w:before="120" w:after="120"/>
              <w:ind w:left="295" w:hanging="295"/>
              <w:rPr>
                <w:color w:val="000000"/>
              </w:rPr>
            </w:pPr>
            <w:r w:rsidRPr="00F24575">
              <w:rPr>
                <w:color w:val="000000"/>
              </w:rPr>
              <w:t>Submission of summary to the Cabinet</w:t>
            </w:r>
          </w:p>
        </w:tc>
        <w:tc>
          <w:tcPr>
            <w:tcW w:w="202" w:type="pct"/>
            <w:vAlign w:val="center"/>
          </w:tcPr>
          <w:p w:rsidR="009E5836" w:rsidRPr="00F24575" w:rsidRDefault="006A41C5" w:rsidP="00BD26ED">
            <w:pPr>
              <w:spacing w:before="120" w:after="120"/>
            </w:pPr>
            <w:r>
              <w:t>-</w:t>
            </w:r>
          </w:p>
        </w:tc>
        <w:tc>
          <w:tcPr>
            <w:tcW w:w="202" w:type="pct"/>
            <w:vAlign w:val="center"/>
          </w:tcPr>
          <w:p w:rsidR="009E5836" w:rsidRPr="00F24575" w:rsidRDefault="006A41C5" w:rsidP="00BD26ED">
            <w:pPr>
              <w:spacing w:before="120" w:after="120"/>
            </w:pPr>
            <w:r>
              <w:t>-</w:t>
            </w:r>
          </w:p>
        </w:tc>
        <w:tc>
          <w:tcPr>
            <w:tcW w:w="202" w:type="pct"/>
            <w:vAlign w:val="center"/>
          </w:tcPr>
          <w:p w:rsidR="009E5836" w:rsidRPr="00F24575" w:rsidRDefault="006A41C5" w:rsidP="00BD26ED">
            <w:pPr>
              <w:spacing w:before="120" w:after="120"/>
            </w:pPr>
            <w:r>
              <w:t>-</w:t>
            </w:r>
          </w:p>
        </w:tc>
        <w:tc>
          <w:tcPr>
            <w:tcW w:w="202" w:type="pct"/>
            <w:vAlign w:val="center"/>
          </w:tcPr>
          <w:p w:rsidR="009E5836" w:rsidRPr="00F24575" w:rsidRDefault="006A41C5" w:rsidP="00BD26ED">
            <w:pPr>
              <w:spacing w:before="120" w:after="120"/>
            </w:pPr>
            <w:r>
              <w:t>-</w:t>
            </w:r>
          </w:p>
        </w:tc>
        <w:tc>
          <w:tcPr>
            <w:tcW w:w="742" w:type="pct"/>
            <w:vAlign w:val="center"/>
          </w:tcPr>
          <w:p w:rsidR="009E5836" w:rsidRPr="00F24575" w:rsidRDefault="00FB3391" w:rsidP="00893CD7">
            <w:pPr>
              <w:spacing w:before="120" w:after="120"/>
              <w:jc w:val="center"/>
            </w:pPr>
            <w:r w:rsidRPr="00F24575">
              <w:t>OIEA</w:t>
            </w:r>
            <w:r w:rsidR="00FE5F23">
              <w:rPr>
                <w:rStyle w:val="FootnoteReference"/>
              </w:rPr>
              <w:footnoteReference w:id="4"/>
            </w:r>
          </w:p>
        </w:tc>
        <w:tc>
          <w:tcPr>
            <w:tcW w:w="566" w:type="pct"/>
            <w:vAlign w:val="center"/>
          </w:tcPr>
          <w:p w:rsidR="006C701B" w:rsidRDefault="006C701B" w:rsidP="003C22F7">
            <w:pPr>
              <w:rPr>
                <w:color w:val="000000"/>
              </w:rPr>
            </w:pPr>
          </w:p>
          <w:p w:rsidR="006C701B" w:rsidRDefault="006C701B" w:rsidP="003C22F7">
            <w:pPr>
              <w:rPr>
                <w:color w:val="000000"/>
              </w:rPr>
            </w:pPr>
          </w:p>
          <w:p w:rsidR="006C701B" w:rsidRDefault="006C701B" w:rsidP="003C22F7">
            <w:pPr>
              <w:rPr>
                <w:color w:val="000000"/>
              </w:rPr>
            </w:pPr>
          </w:p>
          <w:p w:rsidR="003C22F7" w:rsidRPr="00F24575" w:rsidRDefault="003C22F7" w:rsidP="0009711C">
            <w:pPr>
              <w:jc w:val="center"/>
              <w:rPr>
                <w:color w:val="000000"/>
              </w:rPr>
            </w:pPr>
            <w:r w:rsidRPr="00F24575">
              <w:rPr>
                <w:color w:val="000000"/>
              </w:rPr>
              <w:t>May-</w:t>
            </w:r>
            <w:r w:rsidR="006C701B">
              <w:rPr>
                <w:color w:val="000000"/>
              </w:rPr>
              <w:t>20</w:t>
            </w:r>
            <w:r w:rsidRPr="00F24575">
              <w:rPr>
                <w:color w:val="000000"/>
              </w:rPr>
              <w:t>20</w:t>
            </w:r>
          </w:p>
          <w:p w:rsidR="009E5836" w:rsidRPr="00F24575" w:rsidRDefault="009E5836" w:rsidP="00BD26ED">
            <w:pPr>
              <w:spacing w:before="120" w:after="120"/>
            </w:pPr>
          </w:p>
          <w:p w:rsidR="003C22F7" w:rsidRPr="00F24575" w:rsidRDefault="003C22F7" w:rsidP="00BD26ED">
            <w:pPr>
              <w:spacing w:before="120" w:after="120"/>
            </w:pPr>
          </w:p>
        </w:tc>
      </w:tr>
      <w:tr w:rsidR="00F24575" w:rsidRPr="00F24575" w:rsidTr="006A41C5">
        <w:trPr>
          <w:trHeight w:val="1988"/>
        </w:trPr>
        <w:tc>
          <w:tcPr>
            <w:tcW w:w="871" w:type="pct"/>
            <w:vAlign w:val="center"/>
          </w:tcPr>
          <w:p w:rsidR="003C22F7" w:rsidRPr="00F24575" w:rsidRDefault="003C22F7" w:rsidP="003C22F7">
            <w:pPr>
              <w:rPr>
                <w:color w:val="000000"/>
              </w:rPr>
            </w:pPr>
            <w:r w:rsidRPr="00F24575">
              <w:rPr>
                <w:color w:val="000000"/>
              </w:rPr>
              <w:t>MoU</w:t>
            </w:r>
            <w:r w:rsidR="00ED1019">
              <w:rPr>
                <w:rStyle w:val="FootnoteReference"/>
                <w:color w:val="000000"/>
              </w:rPr>
              <w:footnoteReference w:id="5"/>
            </w:r>
            <w:r w:rsidRPr="00F24575">
              <w:rPr>
                <w:color w:val="000000"/>
              </w:rPr>
              <w:t xml:space="preserve"> with Privatization Commission</w:t>
            </w:r>
          </w:p>
          <w:p w:rsidR="007D7FF2" w:rsidRPr="00F24575" w:rsidRDefault="007D7FF2" w:rsidP="003C22F7">
            <w:pPr>
              <w:pStyle w:val="ListParagraph"/>
              <w:autoSpaceDE w:val="0"/>
              <w:autoSpaceDN w:val="0"/>
              <w:adjustRightInd w:val="0"/>
              <w:spacing w:before="120" w:after="120" w:line="276" w:lineRule="auto"/>
              <w:ind w:left="427"/>
              <w:rPr>
                <w:b/>
                <w:bCs/>
                <w:color w:val="000000"/>
              </w:rPr>
            </w:pPr>
          </w:p>
        </w:tc>
        <w:tc>
          <w:tcPr>
            <w:tcW w:w="1007" w:type="pct"/>
            <w:vAlign w:val="center"/>
          </w:tcPr>
          <w:p w:rsidR="007D7FF2" w:rsidRPr="00F24575" w:rsidRDefault="00FB3391" w:rsidP="00205A7C">
            <w:pPr>
              <w:pStyle w:val="ListParagraph"/>
              <w:numPr>
                <w:ilvl w:val="0"/>
                <w:numId w:val="16"/>
              </w:numPr>
              <w:spacing w:before="120" w:after="120"/>
              <w:ind w:left="421"/>
            </w:pPr>
            <w:r w:rsidRPr="00F24575">
              <w:t xml:space="preserve">Signing of MoU </w:t>
            </w:r>
            <w:r w:rsidR="00FF7AD4" w:rsidRPr="00F24575">
              <w:t xml:space="preserve">will help CCP to be part of </w:t>
            </w:r>
            <w:r w:rsidR="00654A8A" w:rsidRPr="00F24575">
              <w:t xml:space="preserve">technical committee of </w:t>
            </w:r>
            <w:r w:rsidR="00FF7AD4" w:rsidRPr="00F24575">
              <w:t>Cabi</w:t>
            </w:r>
            <w:r w:rsidR="00654A8A" w:rsidRPr="00F24575">
              <w:t>net Committee on Privatization. This would enable CCP to be part of the committee on any Privatization done by the Government.</w:t>
            </w:r>
          </w:p>
        </w:tc>
        <w:tc>
          <w:tcPr>
            <w:tcW w:w="1006" w:type="pct"/>
            <w:vAlign w:val="center"/>
          </w:tcPr>
          <w:p w:rsidR="007D7FF2" w:rsidRPr="00F24575" w:rsidRDefault="00FB3391" w:rsidP="00205A7C">
            <w:pPr>
              <w:pStyle w:val="ListParagraph"/>
              <w:numPr>
                <w:ilvl w:val="0"/>
                <w:numId w:val="5"/>
              </w:numPr>
              <w:spacing w:before="120" w:after="120"/>
              <w:ind w:left="295" w:hanging="270"/>
              <w:rPr>
                <w:color w:val="000000"/>
              </w:rPr>
            </w:pPr>
            <w:r w:rsidRPr="00F24575">
              <w:rPr>
                <w:color w:val="000000"/>
              </w:rPr>
              <w:t xml:space="preserve">Working paper to be prepared by CCP for the </w:t>
            </w:r>
            <w:proofErr w:type="spellStart"/>
            <w:r w:rsidRPr="00F24575">
              <w:rPr>
                <w:color w:val="000000"/>
              </w:rPr>
              <w:t>MoF</w:t>
            </w:r>
            <w:proofErr w:type="spellEnd"/>
            <w:r w:rsidRPr="00F24575">
              <w:rPr>
                <w:color w:val="000000"/>
              </w:rPr>
              <w:t xml:space="preserve"> </w:t>
            </w:r>
          </w:p>
          <w:p w:rsidR="00FB3391" w:rsidRPr="00F24575" w:rsidRDefault="00FB3391" w:rsidP="00205A7C">
            <w:pPr>
              <w:pStyle w:val="ListParagraph"/>
              <w:numPr>
                <w:ilvl w:val="0"/>
                <w:numId w:val="5"/>
              </w:numPr>
              <w:spacing w:before="120" w:after="120"/>
              <w:ind w:left="295" w:hanging="270"/>
              <w:rPr>
                <w:color w:val="000000"/>
              </w:rPr>
            </w:pPr>
            <w:proofErr w:type="spellStart"/>
            <w:r w:rsidRPr="00F24575">
              <w:rPr>
                <w:color w:val="000000"/>
              </w:rPr>
              <w:t>MoF</w:t>
            </w:r>
            <w:proofErr w:type="spellEnd"/>
            <w:r w:rsidRPr="00F24575">
              <w:rPr>
                <w:color w:val="000000"/>
              </w:rPr>
              <w:t xml:space="preserve"> to write to the Privatization Commission </w:t>
            </w:r>
          </w:p>
          <w:p w:rsidR="00FB3391" w:rsidRPr="00F24575" w:rsidRDefault="00FB3391" w:rsidP="00205A7C">
            <w:pPr>
              <w:pStyle w:val="ListParagraph"/>
              <w:numPr>
                <w:ilvl w:val="0"/>
                <w:numId w:val="5"/>
              </w:numPr>
              <w:spacing w:before="120" w:after="120"/>
              <w:ind w:left="295" w:hanging="270"/>
              <w:rPr>
                <w:color w:val="000000"/>
              </w:rPr>
            </w:pPr>
            <w:r w:rsidRPr="00F24575">
              <w:rPr>
                <w:color w:val="000000"/>
              </w:rPr>
              <w:t>Hold meetings with Privatization Commission along</w:t>
            </w:r>
            <w:r w:rsidR="00716D9D" w:rsidRPr="00F24575">
              <w:rPr>
                <w:color w:val="000000"/>
              </w:rPr>
              <w:t xml:space="preserve"> </w:t>
            </w:r>
            <w:r w:rsidRPr="00F24575">
              <w:rPr>
                <w:color w:val="000000"/>
              </w:rPr>
              <w:t xml:space="preserve">with </w:t>
            </w:r>
            <w:proofErr w:type="spellStart"/>
            <w:r w:rsidRPr="00F24575">
              <w:rPr>
                <w:color w:val="000000"/>
              </w:rPr>
              <w:t>MoF</w:t>
            </w:r>
            <w:proofErr w:type="spellEnd"/>
          </w:p>
          <w:p w:rsidR="00FB3391" w:rsidRPr="00F24575" w:rsidRDefault="00FB3391" w:rsidP="00205A7C">
            <w:pPr>
              <w:pStyle w:val="ListParagraph"/>
              <w:numPr>
                <w:ilvl w:val="0"/>
                <w:numId w:val="5"/>
              </w:numPr>
              <w:spacing w:before="120" w:after="120"/>
              <w:ind w:left="295" w:hanging="270"/>
              <w:rPr>
                <w:color w:val="000000"/>
              </w:rPr>
            </w:pPr>
            <w:r w:rsidRPr="00F24575">
              <w:rPr>
                <w:color w:val="000000"/>
              </w:rPr>
              <w:t>Share the draft of MoU</w:t>
            </w:r>
            <w:r w:rsidR="00C21E75" w:rsidRPr="00F24575">
              <w:rPr>
                <w:color w:val="000000"/>
              </w:rPr>
              <w:t xml:space="preserve"> with Privatization Co</w:t>
            </w:r>
            <w:r w:rsidR="00716D9D" w:rsidRPr="00F24575">
              <w:rPr>
                <w:color w:val="000000"/>
              </w:rPr>
              <w:t>m</w:t>
            </w:r>
            <w:r w:rsidR="00C21E75" w:rsidRPr="00F24575">
              <w:rPr>
                <w:color w:val="000000"/>
              </w:rPr>
              <w:t>mission</w:t>
            </w:r>
          </w:p>
          <w:p w:rsidR="00FB3391" w:rsidRPr="00F24575" w:rsidRDefault="00FB3391" w:rsidP="00FB3391">
            <w:pPr>
              <w:pStyle w:val="ListParagraph"/>
              <w:spacing w:before="120" w:after="120"/>
              <w:ind w:left="296"/>
              <w:rPr>
                <w:color w:val="000000"/>
              </w:rPr>
            </w:pPr>
          </w:p>
        </w:tc>
        <w:tc>
          <w:tcPr>
            <w:tcW w:w="202" w:type="pct"/>
            <w:vAlign w:val="center"/>
          </w:tcPr>
          <w:p w:rsidR="007D7FF2" w:rsidRPr="00F24575" w:rsidRDefault="006A41C5" w:rsidP="00BD26ED">
            <w:pPr>
              <w:spacing w:before="120" w:after="120"/>
            </w:pPr>
            <w:r>
              <w:lastRenderedPageBreak/>
              <w:t>-</w:t>
            </w:r>
          </w:p>
        </w:tc>
        <w:tc>
          <w:tcPr>
            <w:tcW w:w="202" w:type="pct"/>
            <w:vAlign w:val="center"/>
          </w:tcPr>
          <w:p w:rsidR="007D7FF2" w:rsidRPr="00F24575" w:rsidRDefault="006A41C5" w:rsidP="00BD26ED">
            <w:pPr>
              <w:spacing w:before="120" w:after="120"/>
            </w:pPr>
            <w:r>
              <w:t>-</w:t>
            </w:r>
          </w:p>
        </w:tc>
        <w:tc>
          <w:tcPr>
            <w:tcW w:w="202" w:type="pct"/>
            <w:vAlign w:val="center"/>
          </w:tcPr>
          <w:p w:rsidR="007D7FF2" w:rsidRPr="00F24575" w:rsidRDefault="006A41C5" w:rsidP="00BD26ED">
            <w:pPr>
              <w:spacing w:before="120" w:after="120"/>
            </w:pPr>
            <w:r>
              <w:t>-</w:t>
            </w:r>
          </w:p>
        </w:tc>
        <w:tc>
          <w:tcPr>
            <w:tcW w:w="202" w:type="pct"/>
            <w:vAlign w:val="center"/>
          </w:tcPr>
          <w:p w:rsidR="007D7FF2" w:rsidRPr="00F24575" w:rsidRDefault="006A41C5" w:rsidP="00BD26ED">
            <w:pPr>
              <w:spacing w:before="120" w:after="120"/>
            </w:pPr>
            <w:r>
              <w:t>-</w:t>
            </w:r>
          </w:p>
        </w:tc>
        <w:tc>
          <w:tcPr>
            <w:tcW w:w="742" w:type="pct"/>
            <w:vAlign w:val="center"/>
          </w:tcPr>
          <w:p w:rsidR="007D7FF2" w:rsidRPr="00F24575" w:rsidRDefault="001C6075" w:rsidP="00893CD7">
            <w:pPr>
              <w:spacing w:before="120" w:after="120"/>
              <w:jc w:val="center"/>
            </w:pPr>
            <w:r w:rsidRPr="00F24575">
              <w:t xml:space="preserve">OIEA and </w:t>
            </w:r>
            <w:proofErr w:type="spellStart"/>
            <w:r w:rsidRPr="00F24575">
              <w:t>MoF</w:t>
            </w:r>
            <w:proofErr w:type="spellEnd"/>
          </w:p>
        </w:tc>
        <w:tc>
          <w:tcPr>
            <w:tcW w:w="566" w:type="pct"/>
            <w:vAlign w:val="center"/>
          </w:tcPr>
          <w:p w:rsidR="006C701B" w:rsidRDefault="006C701B" w:rsidP="003C22F7">
            <w:pPr>
              <w:rPr>
                <w:color w:val="000000"/>
              </w:rPr>
            </w:pPr>
          </w:p>
          <w:p w:rsidR="006C701B" w:rsidRDefault="006C701B" w:rsidP="003C22F7">
            <w:pPr>
              <w:rPr>
                <w:color w:val="000000"/>
              </w:rPr>
            </w:pPr>
          </w:p>
          <w:p w:rsidR="003C22F7" w:rsidRPr="00F24575" w:rsidRDefault="003C22F7" w:rsidP="0009711C">
            <w:pPr>
              <w:jc w:val="center"/>
              <w:rPr>
                <w:color w:val="000000"/>
              </w:rPr>
            </w:pPr>
            <w:r w:rsidRPr="00F24575">
              <w:rPr>
                <w:color w:val="000000"/>
              </w:rPr>
              <w:t>Feb</w:t>
            </w:r>
            <w:r w:rsidR="006C701B">
              <w:rPr>
                <w:color w:val="000000"/>
              </w:rPr>
              <w:t>ruary</w:t>
            </w:r>
            <w:r w:rsidRPr="00F24575">
              <w:rPr>
                <w:color w:val="000000"/>
              </w:rPr>
              <w:t>-20</w:t>
            </w:r>
            <w:r w:rsidR="006C701B">
              <w:rPr>
                <w:color w:val="000000"/>
              </w:rPr>
              <w:t>20</w:t>
            </w:r>
          </w:p>
          <w:p w:rsidR="007D7FF2" w:rsidRPr="00F24575" w:rsidRDefault="007D7FF2" w:rsidP="00BD26ED">
            <w:pPr>
              <w:spacing w:before="120" w:after="120"/>
            </w:pPr>
          </w:p>
        </w:tc>
      </w:tr>
      <w:tr w:rsidR="006A41C5" w:rsidRPr="00F24575" w:rsidTr="006A41C5">
        <w:trPr>
          <w:trHeight w:val="1988"/>
        </w:trPr>
        <w:tc>
          <w:tcPr>
            <w:tcW w:w="871" w:type="pct"/>
            <w:vAlign w:val="center"/>
          </w:tcPr>
          <w:p w:rsidR="006A41C5" w:rsidRDefault="006A41C5" w:rsidP="006A41C5">
            <w:pPr>
              <w:rPr>
                <w:color w:val="000000"/>
              </w:rPr>
            </w:pPr>
          </w:p>
          <w:p w:rsidR="006A41C5" w:rsidRDefault="006A41C5" w:rsidP="006A41C5">
            <w:pPr>
              <w:rPr>
                <w:color w:val="000000"/>
              </w:rPr>
            </w:pPr>
          </w:p>
          <w:p w:rsidR="006A41C5" w:rsidRPr="00F24575" w:rsidRDefault="006A41C5" w:rsidP="006A41C5">
            <w:pPr>
              <w:rPr>
                <w:color w:val="000000"/>
              </w:rPr>
            </w:pPr>
            <w:r w:rsidRPr="00F24575">
              <w:rPr>
                <w:color w:val="000000"/>
              </w:rPr>
              <w:t>Ensure CCP NOC</w:t>
            </w:r>
            <w:r w:rsidR="000F5B49">
              <w:rPr>
                <w:rStyle w:val="FootnoteReference"/>
                <w:color w:val="000000"/>
              </w:rPr>
              <w:footnoteReference w:id="6"/>
            </w:r>
            <w:r w:rsidRPr="00F24575">
              <w:rPr>
                <w:color w:val="000000"/>
              </w:rPr>
              <w:t xml:space="preserve"> mandatory in SECP</w:t>
            </w:r>
            <w:r w:rsidR="00C75AB6">
              <w:rPr>
                <w:rStyle w:val="FootnoteReference"/>
                <w:color w:val="000000"/>
              </w:rPr>
              <w:footnoteReference w:id="7"/>
            </w:r>
            <w:r w:rsidRPr="00F24575">
              <w:rPr>
                <w:color w:val="000000"/>
              </w:rPr>
              <w:t xml:space="preserve"> regulation </w:t>
            </w:r>
            <w:r w:rsidR="007408A8" w:rsidRPr="00F24575">
              <w:rPr>
                <w:color w:val="000000"/>
              </w:rPr>
              <w:t>prior</w:t>
            </w:r>
            <w:r w:rsidRPr="00F24575">
              <w:rPr>
                <w:color w:val="000000"/>
              </w:rPr>
              <w:t xml:space="preserve"> to any change in shareholding/transfer of shares</w:t>
            </w:r>
          </w:p>
          <w:p w:rsidR="006A41C5" w:rsidRPr="00F24575" w:rsidRDefault="006A41C5" w:rsidP="006A41C5">
            <w:pPr>
              <w:rPr>
                <w:color w:val="000000"/>
              </w:rPr>
            </w:pPr>
          </w:p>
        </w:tc>
        <w:tc>
          <w:tcPr>
            <w:tcW w:w="1007" w:type="pct"/>
            <w:vAlign w:val="center"/>
          </w:tcPr>
          <w:p w:rsidR="006A41C5" w:rsidRPr="00F24575" w:rsidRDefault="006A41C5" w:rsidP="00205A7C">
            <w:pPr>
              <w:pStyle w:val="ListParagraph"/>
              <w:numPr>
                <w:ilvl w:val="0"/>
                <w:numId w:val="17"/>
              </w:numPr>
              <w:spacing w:before="120" w:after="120"/>
              <w:ind w:left="351"/>
            </w:pPr>
            <w:r w:rsidRPr="00F24575">
              <w:t>Revision of Regulations of SECP w.r.t CCP’s NOC for any change in shareholding/transfer of share</w:t>
            </w:r>
          </w:p>
        </w:tc>
        <w:tc>
          <w:tcPr>
            <w:tcW w:w="1006" w:type="pct"/>
            <w:vAlign w:val="center"/>
          </w:tcPr>
          <w:p w:rsidR="006A41C5" w:rsidRPr="00F24575" w:rsidRDefault="006A41C5" w:rsidP="00205A7C">
            <w:pPr>
              <w:pStyle w:val="ListParagraph"/>
              <w:numPr>
                <w:ilvl w:val="0"/>
                <w:numId w:val="6"/>
              </w:numPr>
              <w:spacing w:before="120" w:after="120"/>
              <w:ind w:left="295" w:hanging="295"/>
              <w:rPr>
                <w:color w:val="000000"/>
              </w:rPr>
            </w:pPr>
            <w:r w:rsidRPr="00F24575">
              <w:rPr>
                <w:color w:val="000000"/>
              </w:rPr>
              <w:t xml:space="preserve">CCP to initiate a summary for </w:t>
            </w:r>
            <w:proofErr w:type="spellStart"/>
            <w:r w:rsidRPr="00F24575">
              <w:rPr>
                <w:color w:val="000000"/>
              </w:rPr>
              <w:t>MoF</w:t>
            </w:r>
            <w:proofErr w:type="spellEnd"/>
          </w:p>
          <w:p w:rsidR="006A41C5" w:rsidRPr="00F24575" w:rsidRDefault="006A41C5" w:rsidP="00205A7C">
            <w:pPr>
              <w:pStyle w:val="ListParagraph"/>
              <w:numPr>
                <w:ilvl w:val="0"/>
                <w:numId w:val="6"/>
              </w:numPr>
              <w:spacing w:before="120" w:after="120"/>
              <w:ind w:left="295" w:hanging="295"/>
              <w:rPr>
                <w:color w:val="000000"/>
              </w:rPr>
            </w:pPr>
            <w:proofErr w:type="spellStart"/>
            <w:r w:rsidRPr="00F24575">
              <w:rPr>
                <w:color w:val="000000"/>
              </w:rPr>
              <w:t>MoF</w:t>
            </w:r>
            <w:proofErr w:type="spellEnd"/>
            <w:r w:rsidRPr="00F24575">
              <w:rPr>
                <w:color w:val="000000"/>
              </w:rPr>
              <w:t xml:space="preserve"> to direct SECP for the revision in Regulations ensuring CCP’s NOC for any  change in shareholding/transfer of shares</w:t>
            </w:r>
          </w:p>
          <w:p w:rsidR="006A41C5" w:rsidRPr="00F24575" w:rsidRDefault="006A41C5" w:rsidP="00205A7C">
            <w:pPr>
              <w:pStyle w:val="ListParagraph"/>
              <w:numPr>
                <w:ilvl w:val="0"/>
                <w:numId w:val="6"/>
              </w:numPr>
              <w:spacing w:before="120" w:after="120"/>
              <w:ind w:left="295" w:hanging="295"/>
              <w:rPr>
                <w:color w:val="000000"/>
              </w:rPr>
            </w:pPr>
            <w:r w:rsidRPr="00F24575">
              <w:rPr>
                <w:color w:val="000000"/>
              </w:rPr>
              <w:t xml:space="preserve">Hold meetings/ Consultation with SECP along with CCP for the issuance of revised Regulations </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893CD7">
            <w:pPr>
              <w:spacing w:before="120" w:after="120"/>
              <w:jc w:val="center"/>
            </w:pPr>
            <w:r w:rsidRPr="00F24575">
              <w:t xml:space="preserve">OIEA and </w:t>
            </w:r>
            <w:proofErr w:type="spellStart"/>
            <w:r w:rsidRPr="00F24575">
              <w:t>MoF</w:t>
            </w:r>
            <w:proofErr w:type="spellEnd"/>
          </w:p>
        </w:tc>
        <w:tc>
          <w:tcPr>
            <w:tcW w:w="566" w:type="pct"/>
            <w:vAlign w:val="center"/>
          </w:tcPr>
          <w:p w:rsidR="006A41C5" w:rsidRDefault="006A41C5" w:rsidP="006A41C5">
            <w:pPr>
              <w:rPr>
                <w:color w:val="000000"/>
              </w:rPr>
            </w:pPr>
          </w:p>
          <w:p w:rsidR="006A41C5" w:rsidRDefault="006A41C5" w:rsidP="006A41C5">
            <w:pPr>
              <w:rPr>
                <w:color w:val="000000"/>
              </w:rPr>
            </w:pPr>
          </w:p>
          <w:p w:rsidR="006A41C5" w:rsidRPr="00F24575" w:rsidRDefault="006A41C5" w:rsidP="0009711C">
            <w:pPr>
              <w:jc w:val="center"/>
              <w:rPr>
                <w:color w:val="000000"/>
              </w:rPr>
            </w:pPr>
            <w:r w:rsidRPr="00F24575">
              <w:rPr>
                <w:color w:val="000000"/>
              </w:rPr>
              <w:t>Sep</w:t>
            </w:r>
            <w:r>
              <w:rPr>
                <w:color w:val="000000"/>
              </w:rPr>
              <w:t>tember</w:t>
            </w:r>
            <w:r w:rsidRPr="00F24575">
              <w:rPr>
                <w:color w:val="000000"/>
              </w:rPr>
              <w:t>-</w:t>
            </w:r>
            <w:r>
              <w:rPr>
                <w:color w:val="000000"/>
              </w:rPr>
              <w:t>20</w:t>
            </w:r>
            <w:r w:rsidRPr="00F24575">
              <w:rPr>
                <w:color w:val="000000"/>
              </w:rPr>
              <w:t>19</w:t>
            </w:r>
          </w:p>
          <w:p w:rsidR="006A41C5" w:rsidRPr="00F24575" w:rsidRDefault="006A41C5" w:rsidP="006A41C5">
            <w:pPr>
              <w:spacing w:before="120" w:after="120"/>
            </w:pPr>
          </w:p>
        </w:tc>
      </w:tr>
    </w:tbl>
    <w:p w:rsidR="00C64FC5" w:rsidRDefault="00C64FC5">
      <w:r>
        <w:br w:type="page"/>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608"/>
        <w:gridCol w:w="2606"/>
        <w:gridCol w:w="523"/>
        <w:gridCol w:w="523"/>
        <w:gridCol w:w="523"/>
        <w:gridCol w:w="523"/>
        <w:gridCol w:w="1922"/>
        <w:gridCol w:w="1466"/>
      </w:tblGrid>
      <w:tr w:rsidR="00BC71C3" w:rsidRPr="00F24575" w:rsidTr="002E49CC">
        <w:trPr>
          <w:trHeight w:val="1988"/>
        </w:trPr>
        <w:tc>
          <w:tcPr>
            <w:tcW w:w="5000" w:type="pct"/>
            <w:gridSpan w:val="9"/>
            <w:shd w:val="clear" w:color="auto" w:fill="A6A6A6" w:themeFill="background1" w:themeFillShade="A6"/>
            <w:vAlign w:val="center"/>
          </w:tcPr>
          <w:p w:rsidR="00BC71C3" w:rsidRPr="00F24575" w:rsidRDefault="00BC71C3" w:rsidP="00BC71C3">
            <w:pPr>
              <w:jc w:val="center"/>
              <w:rPr>
                <w:b/>
                <w:color w:val="000000"/>
              </w:rPr>
            </w:pPr>
            <w:r w:rsidRPr="00F24575">
              <w:rPr>
                <w:b/>
                <w:color w:val="000000"/>
              </w:rPr>
              <w:lastRenderedPageBreak/>
              <w:t>DECEPTIVE MARKETING PRACTICES</w:t>
            </w:r>
          </w:p>
        </w:tc>
      </w:tr>
      <w:tr w:rsidR="006A41C5" w:rsidRPr="00F24575" w:rsidTr="006A41C5">
        <w:trPr>
          <w:trHeight w:val="1988"/>
        </w:trPr>
        <w:tc>
          <w:tcPr>
            <w:tcW w:w="871" w:type="pct"/>
            <w:vAlign w:val="center"/>
          </w:tcPr>
          <w:p w:rsidR="006A41C5" w:rsidRPr="00F24575" w:rsidRDefault="006A41C5" w:rsidP="006A41C5">
            <w:pPr>
              <w:rPr>
                <w:color w:val="000000"/>
              </w:rPr>
            </w:pPr>
            <w:r w:rsidRPr="00F24575">
              <w:rPr>
                <w:color w:val="000000"/>
              </w:rPr>
              <w:t xml:space="preserve">Guidelines on Deceptive Marketing Practices </w:t>
            </w:r>
          </w:p>
        </w:tc>
        <w:tc>
          <w:tcPr>
            <w:tcW w:w="1007" w:type="pct"/>
            <w:vAlign w:val="center"/>
          </w:tcPr>
          <w:p w:rsidR="006A41C5" w:rsidRPr="00F24575" w:rsidRDefault="006A41C5" w:rsidP="00205A7C">
            <w:pPr>
              <w:pStyle w:val="ListParagraph"/>
              <w:numPr>
                <w:ilvl w:val="0"/>
                <w:numId w:val="18"/>
              </w:numPr>
              <w:spacing w:before="120" w:after="120"/>
              <w:ind w:left="421" w:hanging="450"/>
            </w:pPr>
            <w:r w:rsidRPr="00F24575">
              <w:t>The guidelines will help in clarifying the issues related to Section 10 of the Competition Act. It would ensure three effects</w:t>
            </w:r>
            <w:r>
              <w:t>, i.e.;</w:t>
            </w:r>
          </w:p>
          <w:p w:rsidR="006A41C5" w:rsidRPr="00F24575" w:rsidRDefault="006A41C5" w:rsidP="00205A7C">
            <w:pPr>
              <w:pStyle w:val="ListParagraph"/>
              <w:numPr>
                <w:ilvl w:val="0"/>
                <w:numId w:val="2"/>
              </w:numPr>
              <w:spacing w:before="120" w:after="120"/>
            </w:pPr>
            <w:r w:rsidRPr="00F24575">
              <w:t>Help Investigation officers</w:t>
            </w:r>
          </w:p>
          <w:p w:rsidR="006A41C5" w:rsidRPr="00F24575" w:rsidRDefault="006A41C5" w:rsidP="00205A7C">
            <w:pPr>
              <w:pStyle w:val="ListParagraph"/>
              <w:numPr>
                <w:ilvl w:val="0"/>
                <w:numId w:val="2"/>
              </w:numPr>
              <w:spacing w:before="120" w:after="120"/>
            </w:pPr>
            <w:r w:rsidRPr="00F24575">
              <w:t>Guide the undertakings</w:t>
            </w:r>
          </w:p>
          <w:p w:rsidR="006A41C5" w:rsidRPr="00F24575" w:rsidRDefault="006A41C5" w:rsidP="00205A7C">
            <w:pPr>
              <w:pStyle w:val="ListParagraph"/>
              <w:numPr>
                <w:ilvl w:val="0"/>
                <w:numId w:val="2"/>
              </w:numPr>
              <w:spacing w:before="120" w:after="120"/>
            </w:pPr>
            <w:r w:rsidRPr="00F24575">
              <w:t>Consumer awareness</w:t>
            </w:r>
          </w:p>
        </w:tc>
        <w:tc>
          <w:tcPr>
            <w:tcW w:w="1006" w:type="pct"/>
            <w:vAlign w:val="center"/>
          </w:tcPr>
          <w:p w:rsidR="006A41C5" w:rsidRPr="00F24575" w:rsidRDefault="006A41C5" w:rsidP="00205A7C">
            <w:pPr>
              <w:pStyle w:val="ListParagraph"/>
              <w:numPr>
                <w:ilvl w:val="0"/>
                <w:numId w:val="7"/>
              </w:numPr>
              <w:spacing w:before="120" w:after="120"/>
              <w:ind w:left="360"/>
              <w:rPr>
                <w:color w:val="000000"/>
              </w:rPr>
            </w:pPr>
            <w:r w:rsidRPr="00F24575">
              <w:rPr>
                <w:color w:val="000000"/>
              </w:rPr>
              <w:t>Submission of the Working paper for the approval of the Commission.</w:t>
            </w:r>
          </w:p>
          <w:p w:rsidR="006A41C5" w:rsidRPr="00F24575" w:rsidRDefault="006A41C5" w:rsidP="00205A7C">
            <w:pPr>
              <w:pStyle w:val="ListParagraph"/>
              <w:numPr>
                <w:ilvl w:val="0"/>
                <w:numId w:val="7"/>
              </w:numPr>
              <w:spacing w:before="120" w:after="120"/>
              <w:ind w:left="360"/>
              <w:rPr>
                <w:color w:val="000000"/>
              </w:rPr>
            </w:pPr>
            <w:r w:rsidRPr="00F24575">
              <w:rPr>
                <w:color w:val="000000"/>
              </w:rPr>
              <w:t>Draft guidelines in light of the Consumer Laws of KCA</w:t>
            </w:r>
            <w:r w:rsidR="007408A8">
              <w:rPr>
                <w:rStyle w:val="FootnoteReference"/>
                <w:color w:val="000000"/>
              </w:rPr>
              <w:footnoteReference w:id="8"/>
            </w:r>
            <w:r w:rsidRPr="00F24575">
              <w:rPr>
                <w:color w:val="000000"/>
              </w:rPr>
              <w:t>.</w:t>
            </w:r>
          </w:p>
          <w:p w:rsidR="006A41C5" w:rsidRPr="00F24575" w:rsidRDefault="006A41C5" w:rsidP="00205A7C">
            <w:pPr>
              <w:pStyle w:val="ListParagraph"/>
              <w:numPr>
                <w:ilvl w:val="0"/>
                <w:numId w:val="7"/>
              </w:numPr>
              <w:spacing w:before="120" w:after="120"/>
              <w:ind w:left="360"/>
              <w:rPr>
                <w:color w:val="000000"/>
              </w:rPr>
            </w:pPr>
            <w:r w:rsidRPr="00F24575">
              <w:rPr>
                <w:color w:val="000000"/>
              </w:rPr>
              <w:t>To launch the awareness program for the undertaking as well as for consumers.</w:t>
            </w:r>
          </w:p>
          <w:p w:rsidR="006A41C5" w:rsidRPr="00F24575" w:rsidRDefault="006A41C5" w:rsidP="006A41C5">
            <w:pPr>
              <w:pStyle w:val="ListParagraph"/>
              <w:spacing w:before="120" w:after="120"/>
              <w:ind w:left="656"/>
              <w:rPr>
                <w:color w:val="000000"/>
              </w:rPr>
            </w:pP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Default="006A41C5" w:rsidP="006A41C5">
            <w:pPr>
              <w:spacing w:before="120" w:after="120"/>
            </w:pPr>
          </w:p>
          <w:p w:rsidR="006A41C5" w:rsidRPr="00F24575" w:rsidRDefault="006A41C5" w:rsidP="00893CD7">
            <w:pPr>
              <w:spacing w:before="120" w:after="120"/>
              <w:jc w:val="center"/>
            </w:pPr>
            <w:r>
              <w:t xml:space="preserve">Office of Fair Trade, </w:t>
            </w:r>
            <w:r w:rsidRPr="00F24575">
              <w:t xml:space="preserve"> Advocacy</w:t>
            </w:r>
            <w:r>
              <w:t xml:space="preserve"> and</w:t>
            </w:r>
            <w:r w:rsidRPr="00F24575">
              <w:t xml:space="preserve"> OIEA</w:t>
            </w:r>
          </w:p>
        </w:tc>
        <w:tc>
          <w:tcPr>
            <w:tcW w:w="566" w:type="pct"/>
            <w:vAlign w:val="center"/>
          </w:tcPr>
          <w:p w:rsidR="006A41C5" w:rsidRPr="00F24575" w:rsidRDefault="006A41C5" w:rsidP="0009711C">
            <w:pPr>
              <w:jc w:val="center"/>
              <w:rPr>
                <w:color w:val="000000"/>
              </w:rPr>
            </w:pPr>
            <w:r w:rsidRPr="00F24575">
              <w:rPr>
                <w:color w:val="000000"/>
              </w:rPr>
              <w:t>Jan</w:t>
            </w:r>
            <w:r>
              <w:rPr>
                <w:color w:val="000000"/>
              </w:rPr>
              <w:t>uary</w:t>
            </w:r>
            <w:r w:rsidRPr="00F24575">
              <w:rPr>
                <w:color w:val="000000"/>
              </w:rPr>
              <w:t>-2020</w:t>
            </w:r>
          </w:p>
        </w:tc>
      </w:tr>
    </w:tbl>
    <w:p w:rsidR="00C64FC5" w:rsidRDefault="00C64FC5">
      <w:r>
        <w:br w:type="page"/>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608"/>
        <w:gridCol w:w="2606"/>
        <w:gridCol w:w="523"/>
        <w:gridCol w:w="523"/>
        <w:gridCol w:w="523"/>
        <w:gridCol w:w="523"/>
        <w:gridCol w:w="1922"/>
        <w:gridCol w:w="1466"/>
      </w:tblGrid>
      <w:tr w:rsidR="002E49CC" w:rsidRPr="00F24575" w:rsidTr="002E49CC">
        <w:trPr>
          <w:trHeight w:val="1988"/>
        </w:trPr>
        <w:tc>
          <w:tcPr>
            <w:tcW w:w="5000" w:type="pct"/>
            <w:gridSpan w:val="9"/>
            <w:shd w:val="clear" w:color="auto" w:fill="A6A6A6" w:themeFill="background1" w:themeFillShade="A6"/>
            <w:vAlign w:val="center"/>
          </w:tcPr>
          <w:p w:rsidR="002E49CC" w:rsidRPr="00F24575" w:rsidRDefault="002E49CC" w:rsidP="002E49CC">
            <w:pPr>
              <w:jc w:val="center"/>
              <w:rPr>
                <w:color w:val="000000"/>
              </w:rPr>
            </w:pPr>
            <w:r w:rsidRPr="00F24575">
              <w:rPr>
                <w:b/>
                <w:color w:val="000000"/>
              </w:rPr>
              <w:lastRenderedPageBreak/>
              <w:t>IS&amp;T</w:t>
            </w:r>
            <w:r w:rsidR="00BD7A5E">
              <w:rPr>
                <w:rStyle w:val="FootnoteReference"/>
                <w:b/>
                <w:color w:val="000000"/>
              </w:rPr>
              <w:footnoteReference w:id="9"/>
            </w:r>
          </w:p>
        </w:tc>
      </w:tr>
      <w:tr w:rsidR="006A41C5" w:rsidRPr="00F24575" w:rsidTr="006A41C5">
        <w:trPr>
          <w:trHeight w:val="1988"/>
        </w:trPr>
        <w:tc>
          <w:tcPr>
            <w:tcW w:w="871" w:type="pct"/>
            <w:vAlign w:val="center"/>
          </w:tcPr>
          <w:p w:rsidR="006A41C5" w:rsidRPr="00F24575" w:rsidRDefault="006A41C5" w:rsidP="006A41C5">
            <w:pPr>
              <w:rPr>
                <w:color w:val="000000"/>
              </w:rPr>
            </w:pPr>
            <w:r w:rsidRPr="00F24575">
              <w:rPr>
                <w:color w:val="000000"/>
              </w:rPr>
              <w:t>Bid Rigging Indicator Analysis System (BRIAS)</w:t>
            </w:r>
          </w:p>
        </w:tc>
        <w:tc>
          <w:tcPr>
            <w:tcW w:w="1007" w:type="pct"/>
            <w:vAlign w:val="center"/>
          </w:tcPr>
          <w:p w:rsidR="006A41C5" w:rsidRPr="00F24575" w:rsidRDefault="006A41C5" w:rsidP="00205A7C">
            <w:pPr>
              <w:pStyle w:val="ListParagraph"/>
              <w:numPr>
                <w:ilvl w:val="0"/>
                <w:numId w:val="19"/>
              </w:numPr>
              <w:spacing w:before="120" w:after="120"/>
              <w:ind w:left="422"/>
              <w:rPr>
                <w:bCs/>
                <w:color w:val="000000"/>
              </w:rPr>
            </w:pPr>
            <w:r w:rsidRPr="00F24575">
              <w:rPr>
                <w:bCs/>
                <w:color w:val="000000"/>
              </w:rPr>
              <w:t>Anti-Bid-rigging tools.</w:t>
            </w:r>
          </w:p>
          <w:p w:rsidR="006A41C5" w:rsidRPr="00F24575" w:rsidRDefault="006A41C5" w:rsidP="00205A7C">
            <w:pPr>
              <w:pStyle w:val="ListParagraph"/>
              <w:numPr>
                <w:ilvl w:val="0"/>
                <w:numId w:val="19"/>
              </w:numPr>
              <w:spacing w:before="120" w:after="120"/>
              <w:ind w:left="422"/>
              <w:rPr>
                <w:bCs/>
                <w:color w:val="000000"/>
              </w:rPr>
            </w:pPr>
            <w:r w:rsidRPr="00F24575">
              <w:t>Advocacy in</w:t>
            </w:r>
            <w:r w:rsidRPr="00F24575">
              <w:t>itiatives will help in taking</w:t>
            </w:r>
            <w:r w:rsidRPr="00F24575">
              <w:t xml:space="preserve"> public procurement departments onboard to use this tool.</w:t>
            </w:r>
          </w:p>
        </w:tc>
        <w:tc>
          <w:tcPr>
            <w:tcW w:w="1006" w:type="pct"/>
            <w:vAlign w:val="center"/>
          </w:tcPr>
          <w:p w:rsidR="006A41C5" w:rsidRPr="00F24575" w:rsidRDefault="006A41C5" w:rsidP="00205A7C">
            <w:pPr>
              <w:pStyle w:val="ListParagraph"/>
              <w:numPr>
                <w:ilvl w:val="0"/>
                <w:numId w:val="8"/>
              </w:numPr>
              <w:spacing w:before="120" w:after="120"/>
              <w:ind w:left="360"/>
              <w:rPr>
                <w:color w:val="000000"/>
              </w:rPr>
            </w:pPr>
            <w:r w:rsidRPr="00F24575">
              <w:rPr>
                <w:color w:val="000000"/>
              </w:rPr>
              <w:t>Working paper for the approval of the Commission</w:t>
            </w:r>
          </w:p>
          <w:p w:rsidR="006A41C5" w:rsidRPr="00F24575" w:rsidRDefault="006A41C5" w:rsidP="00205A7C">
            <w:pPr>
              <w:pStyle w:val="ListParagraph"/>
              <w:numPr>
                <w:ilvl w:val="0"/>
                <w:numId w:val="8"/>
              </w:numPr>
              <w:spacing w:before="120" w:after="120"/>
              <w:ind w:left="360"/>
              <w:rPr>
                <w:color w:val="000000"/>
              </w:rPr>
            </w:pPr>
            <w:r w:rsidRPr="00F24575">
              <w:rPr>
                <w:color w:val="000000"/>
              </w:rPr>
              <w:t xml:space="preserve">Development/ upgradation </w:t>
            </w:r>
            <w:r w:rsidRPr="00F24575">
              <w:rPr>
                <w:color w:val="000000"/>
              </w:rPr>
              <w:t>of tool</w:t>
            </w:r>
          </w:p>
          <w:p w:rsidR="006A41C5" w:rsidRPr="00F24575" w:rsidRDefault="006A41C5" w:rsidP="00205A7C">
            <w:pPr>
              <w:pStyle w:val="ListParagraph"/>
              <w:numPr>
                <w:ilvl w:val="0"/>
                <w:numId w:val="8"/>
              </w:numPr>
              <w:spacing w:before="120" w:after="120"/>
              <w:ind w:left="360"/>
              <w:rPr>
                <w:color w:val="000000"/>
              </w:rPr>
            </w:pPr>
            <w:r w:rsidRPr="00F24575">
              <w:rPr>
                <w:color w:val="000000"/>
              </w:rPr>
              <w:t>Advocacy sessions for public procurement departments</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893CD7">
            <w:pPr>
              <w:spacing w:before="120" w:after="120"/>
              <w:jc w:val="center"/>
            </w:pPr>
            <w:r>
              <w:t>IS&amp;T and</w:t>
            </w:r>
            <w:r w:rsidRPr="00F24575">
              <w:t xml:space="preserve"> OIEA</w:t>
            </w:r>
          </w:p>
        </w:tc>
        <w:tc>
          <w:tcPr>
            <w:tcW w:w="566" w:type="pct"/>
            <w:vAlign w:val="center"/>
          </w:tcPr>
          <w:p w:rsidR="006A41C5" w:rsidRPr="00F24575" w:rsidRDefault="006A41C5" w:rsidP="0009711C">
            <w:pPr>
              <w:jc w:val="center"/>
              <w:rPr>
                <w:color w:val="000000"/>
              </w:rPr>
            </w:pPr>
            <w:r w:rsidRPr="00F24575">
              <w:rPr>
                <w:color w:val="000000"/>
              </w:rPr>
              <w:t>Mar</w:t>
            </w:r>
            <w:r>
              <w:rPr>
                <w:color w:val="000000"/>
              </w:rPr>
              <w:t>ch</w:t>
            </w:r>
            <w:r w:rsidRPr="00F24575">
              <w:rPr>
                <w:color w:val="000000"/>
              </w:rPr>
              <w:t>-2020</w:t>
            </w:r>
          </w:p>
        </w:tc>
      </w:tr>
    </w:tbl>
    <w:p w:rsidR="006A41C5" w:rsidRDefault="006A41C5">
      <w:r>
        <w:br w:type="page"/>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608"/>
        <w:gridCol w:w="2606"/>
        <w:gridCol w:w="523"/>
        <w:gridCol w:w="523"/>
        <w:gridCol w:w="523"/>
        <w:gridCol w:w="523"/>
        <w:gridCol w:w="1922"/>
        <w:gridCol w:w="1466"/>
      </w:tblGrid>
      <w:tr w:rsidR="006A41C5" w:rsidRPr="00F24575" w:rsidTr="002E49CC">
        <w:trPr>
          <w:trHeight w:val="1988"/>
        </w:trPr>
        <w:tc>
          <w:tcPr>
            <w:tcW w:w="5000" w:type="pct"/>
            <w:gridSpan w:val="9"/>
            <w:shd w:val="clear" w:color="auto" w:fill="A6A6A6" w:themeFill="background1" w:themeFillShade="A6"/>
            <w:vAlign w:val="center"/>
          </w:tcPr>
          <w:p w:rsidR="006A41C5" w:rsidRPr="00F24575" w:rsidRDefault="006A41C5" w:rsidP="006A41C5">
            <w:pPr>
              <w:jc w:val="center"/>
              <w:rPr>
                <w:color w:val="000000"/>
              </w:rPr>
            </w:pPr>
            <w:r w:rsidRPr="00F24575">
              <w:rPr>
                <w:b/>
                <w:color w:val="000000"/>
              </w:rPr>
              <w:lastRenderedPageBreak/>
              <w:t>ADVOCACY</w:t>
            </w:r>
          </w:p>
        </w:tc>
      </w:tr>
      <w:tr w:rsidR="006A41C5" w:rsidRPr="00F24575" w:rsidTr="006A41C5">
        <w:trPr>
          <w:trHeight w:val="1988"/>
        </w:trPr>
        <w:tc>
          <w:tcPr>
            <w:tcW w:w="871" w:type="pct"/>
            <w:vAlign w:val="center"/>
          </w:tcPr>
          <w:p w:rsidR="006A41C5" w:rsidRPr="00F24575" w:rsidRDefault="006A41C5" w:rsidP="006A41C5">
            <w:pPr>
              <w:rPr>
                <w:color w:val="000000"/>
              </w:rPr>
            </w:pPr>
            <w:r>
              <w:rPr>
                <w:color w:val="000000"/>
              </w:rPr>
              <w:t>Expanding Social N</w:t>
            </w:r>
            <w:r w:rsidRPr="00F24575">
              <w:rPr>
                <w:color w:val="000000"/>
              </w:rPr>
              <w:t xml:space="preserve">etworking through digital advocacy </w:t>
            </w:r>
          </w:p>
          <w:p w:rsidR="006A41C5" w:rsidRPr="00F24575" w:rsidRDefault="006A41C5" w:rsidP="006A41C5">
            <w:pPr>
              <w:rPr>
                <w:color w:val="000000"/>
              </w:rPr>
            </w:pPr>
          </w:p>
        </w:tc>
        <w:tc>
          <w:tcPr>
            <w:tcW w:w="1007" w:type="pct"/>
            <w:vAlign w:val="center"/>
          </w:tcPr>
          <w:p w:rsidR="006A41C5" w:rsidRPr="00F24575" w:rsidRDefault="006A41C5" w:rsidP="00205A7C">
            <w:pPr>
              <w:pStyle w:val="ListParagraph"/>
              <w:numPr>
                <w:ilvl w:val="0"/>
                <w:numId w:val="20"/>
              </w:numPr>
              <w:spacing w:before="120" w:after="120"/>
              <w:ind w:left="422" w:hanging="414"/>
            </w:pPr>
            <w:r w:rsidRPr="00F24575">
              <w:t>Advocacy of Competition law in Pakistan</w:t>
            </w:r>
          </w:p>
          <w:p w:rsidR="006A41C5" w:rsidRPr="00F24575" w:rsidRDefault="006A41C5" w:rsidP="00205A7C">
            <w:pPr>
              <w:pStyle w:val="ListParagraph"/>
              <w:numPr>
                <w:ilvl w:val="0"/>
                <w:numId w:val="20"/>
              </w:numPr>
              <w:spacing w:before="120" w:after="120"/>
              <w:ind w:left="422" w:hanging="414"/>
            </w:pPr>
            <w:r w:rsidRPr="00F24575">
              <w:t>Consumer Awareness regarding the activities of the Commission</w:t>
            </w:r>
          </w:p>
          <w:p w:rsidR="006A41C5" w:rsidRPr="00F24575" w:rsidRDefault="006A41C5" w:rsidP="00205A7C">
            <w:pPr>
              <w:pStyle w:val="ListParagraph"/>
              <w:numPr>
                <w:ilvl w:val="0"/>
                <w:numId w:val="20"/>
              </w:numPr>
              <w:spacing w:before="120" w:after="120"/>
              <w:ind w:left="422" w:hanging="414"/>
            </w:pPr>
            <w:r w:rsidRPr="00F24575">
              <w:t>10% increase in enforcement activities</w:t>
            </w:r>
          </w:p>
          <w:p w:rsidR="006A41C5" w:rsidRPr="00F24575" w:rsidRDefault="006A41C5" w:rsidP="006A41C5">
            <w:pPr>
              <w:spacing w:before="120" w:after="120"/>
            </w:pPr>
          </w:p>
        </w:tc>
        <w:tc>
          <w:tcPr>
            <w:tcW w:w="1006" w:type="pct"/>
            <w:vAlign w:val="center"/>
          </w:tcPr>
          <w:p w:rsidR="006A41C5" w:rsidRPr="00F24575" w:rsidRDefault="006A41C5" w:rsidP="00205A7C">
            <w:pPr>
              <w:pStyle w:val="ListParagraph"/>
              <w:numPr>
                <w:ilvl w:val="0"/>
                <w:numId w:val="9"/>
              </w:numPr>
              <w:spacing w:before="120" w:after="120"/>
              <w:ind w:left="360"/>
              <w:rPr>
                <w:color w:val="000000"/>
              </w:rPr>
            </w:pPr>
            <w:r w:rsidRPr="00F24575">
              <w:rPr>
                <w:color w:val="000000"/>
              </w:rPr>
              <w:t>Rigorous usage of twitter</w:t>
            </w:r>
          </w:p>
          <w:p w:rsidR="006A41C5" w:rsidRPr="00F24575" w:rsidRDefault="006A41C5" w:rsidP="00205A7C">
            <w:pPr>
              <w:pStyle w:val="ListParagraph"/>
              <w:numPr>
                <w:ilvl w:val="0"/>
                <w:numId w:val="9"/>
              </w:numPr>
              <w:spacing w:before="120" w:after="120"/>
              <w:ind w:left="360"/>
              <w:rPr>
                <w:color w:val="000000"/>
              </w:rPr>
            </w:pPr>
            <w:r w:rsidRPr="00F24575">
              <w:rPr>
                <w:color w:val="000000"/>
              </w:rPr>
              <w:t>Launch of YouTube channel</w:t>
            </w:r>
          </w:p>
          <w:p w:rsidR="006A41C5" w:rsidRPr="00F24575" w:rsidRDefault="006A41C5" w:rsidP="00205A7C">
            <w:pPr>
              <w:pStyle w:val="ListParagraph"/>
              <w:numPr>
                <w:ilvl w:val="0"/>
                <w:numId w:val="9"/>
              </w:numPr>
              <w:spacing w:before="120" w:after="120"/>
              <w:ind w:left="360"/>
              <w:rPr>
                <w:color w:val="000000"/>
              </w:rPr>
            </w:pPr>
            <w:r w:rsidRPr="00F24575">
              <w:rPr>
                <w:color w:val="000000"/>
              </w:rPr>
              <w:t>Blogs</w:t>
            </w:r>
          </w:p>
          <w:p w:rsidR="006A41C5" w:rsidRPr="00F24575" w:rsidRDefault="006A41C5" w:rsidP="00205A7C">
            <w:pPr>
              <w:pStyle w:val="ListParagraph"/>
              <w:numPr>
                <w:ilvl w:val="0"/>
                <w:numId w:val="9"/>
              </w:numPr>
              <w:spacing w:before="120" w:after="120"/>
              <w:ind w:left="360"/>
              <w:rPr>
                <w:color w:val="000000"/>
              </w:rPr>
            </w:pPr>
            <w:r w:rsidRPr="00F24575">
              <w:rPr>
                <w:color w:val="000000"/>
              </w:rPr>
              <w:t>Animated content development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Default="006A41C5" w:rsidP="006A41C5">
            <w:pPr>
              <w:spacing w:before="120" w:after="120"/>
            </w:pPr>
          </w:p>
          <w:p w:rsidR="006A41C5" w:rsidRPr="00F24575" w:rsidRDefault="006A41C5" w:rsidP="00893CD7">
            <w:pPr>
              <w:spacing w:before="120" w:after="120"/>
              <w:jc w:val="center"/>
            </w:pPr>
            <w:r>
              <w:t>Advocacy and IS</w:t>
            </w:r>
            <w:r w:rsidRPr="00F24575">
              <w:t>&amp;T</w:t>
            </w:r>
          </w:p>
        </w:tc>
        <w:tc>
          <w:tcPr>
            <w:tcW w:w="566" w:type="pct"/>
            <w:vAlign w:val="center"/>
          </w:tcPr>
          <w:p w:rsidR="006A41C5" w:rsidRDefault="006A41C5" w:rsidP="006A41C5">
            <w:pPr>
              <w:rPr>
                <w:color w:val="000000"/>
              </w:rPr>
            </w:pPr>
          </w:p>
          <w:p w:rsidR="006A41C5" w:rsidRPr="00F24575" w:rsidRDefault="006A41C5" w:rsidP="0009711C">
            <w:pPr>
              <w:jc w:val="center"/>
              <w:rPr>
                <w:color w:val="000000"/>
              </w:rPr>
            </w:pPr>
            <w:r>
              <w:rPr>
                <w:color w:val="000000"/>
              </w:rPr>
              <w:t>April-</w:t>
            </w:r>
            <w:r w:rsidRPr="00F24575">
              <w:rPr>
                <w:color w:val="000000"/>
              </w:rPr>
              <w:t>2020</w:t>
            </w:r>
          </w:p>
        </w:tc>
      </w:tr>
      <w:tr w:rsidR="006A41C5" w:rsidRPr="00F24575" w:rsidTr="006A41C5">
        <w:trPr>
          <w:trHeight w:val="1988"/>
        </w:trPr>
        <w:tc>
          <w:tcPr>
            <w:tcW w:w="871" w:type="pct"/>
            <w:vAlign w:val="center"/>
          </w:tcPr>
          <w:p w:rsidR="006A41C5" w:rsidRPr="00F24575" w:rsidRDefault="006A41C5" w:rsidP="006A41C5">
            <w:pPr>
              <w:rPr>
                <w:color w:val="000000"/>
              </w:rPr>
            </w:pPr>
            <w:r w:rsidRPr="00F24575">
              <w:rPr>
                <w:color w:val="000000"/>
              </w:rPr>
              <w:t>Unfair trade practices by SME’s</w:t>
            </w:r>
            <w:r w:rsidR="009A63FE">
              <w:rPr>
                <w:rStyle w:val="FootnoteReference"/>
                <w:color w:val="000000"/>
              </w:rPr>
              <w:footnoteReference w:id="10"/>
            </w:r>
          </w:p>
        </w:tc>
        <w:tc>
          <w:tcPr>
            <w:tcW w:w="1007" w:type="pct"/>
            <w:vAlign w:val="center"/>
          </w:tcPr>
          <w:p w:rsidR="006A41C5" w:rsidRPr="00F24575" w:rsidRDefault="006A41C5" w:rsidP="00205A7C">
            <w:pPr>
              <w:pStyle w:val="ListParagraph"/>
              <w:numPr>
                <w:ilvl w:val="0"/>
                <w:numId w:val="21"/>
              </w:numPr>
              <w:spacing w:before="120" w:after="120"/>
              <w:ind w:left="422"/>
            </w:pPr>
            <w:r w:rsidRPr="00F24575">
              <w:t>Competition issues to be highlighted in the SME’s sector</w:t>
            </w:r>
          </w:p>
          <w:p w:rsidR="006A41C5" w:rsidRPr="00F24575" w:rsidRDefault="006A41C5" w:rsidP="00205A7C">
            <w:pPr>
              <w:pStyle w:val="ListParagraph"/>
              <w:numPr>
                <w:ilvl w:val="0"/>
                <w:numId w:val="21"/>
              </w:numPr>
              <w:spacing w:before="120" w:after="120"/>
              <w:ind w:left="422"/>
            </w:pPr>
            <w:r w:rsidRPr="00F24575">
              <w:t>Protection of SME’s from big players in the same industry.</w:t>
            </w:r>
          </w:p>
        </w:tc>
        <w:tc>
          <w:tcPr>
            <w:tcW w:w="1006" w:type="pct"/>
            <w:vAlign w:val="center"/>
          </w:tcPr>
          <w:p w:rsidR="006A41C5" w:rsidRPr="00F24575" w:rsidRDefault="006A41C5" w:rsidP="00205A7C">
            <w:pPr>
              <w:pStyle w:val="ListParagraph"/>
              <w:numPr>
                <w:ilvl w:val="0"/>
                <w:numId w:val="10"/>
              </w:numPr>
              <w:spacing w:before="120" w:after="120"/>
              <w:ind w:left="360"/>
              <w:rPr>
                <w:color w:val="000000"/>
              </w:rPr>
            </w:pPr>
            <w:r w:rsidRPr="00F24575">
              <w:rPr>
                <w:color w:val="000000"/>
              </w:rPr>
              <w:t>Interactive sessions with SME clusters of Pakistan</w:t>
            </w:r>
          </w:p>
          <w:p w:rsidR="006A41C5" w:rsidRPr="00F24575" w:rsidRDefault="006A41C5" w:rsidP="00205A7C">
            <w:pPr>
              <w:pStyle w:val="ListParagraph"/>
              <w:numPr>
                <w:ilvl w:val="0"/>
                <w:numId w:val="10"/>
              </w:numPr>
              <w:spacing w:before="120" w:after="120"/>
              <w:ind w:left="360"/>
              <w:rPr>
                <w:color w:val="000000"/>
              </w:rPr>
            </w:pPr>
            <w:r w:rsidRPr="00F24575">
              <w:rPr>
                <w:color w:val="000000"/>
              </w:rPr>
              <w:t>Publication of a consolidated report afterwards</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43072A">
            <w:pPr>
              <w:spacing w:before="120" w:after="120"/>
              <w:jc w:val="center"/>
            </w:pPr>
            <w:r>
              <w:t xml:space="preserve">Advocacy and </w:t>
            </w:r>
            <w:r w:rsidRPr="00F24575">
              <w:t>Enforcement Departments</w:t>
            </w:r>
          </w:p>
        </w:tc>
        <w:tc>
          <w:tcPr>
            <w:tcW w:w="566" w:type="pct"/>
            <w:vAlign w:val="center"/>
          </w:tcPr>
          <w:p w:rsidR="006A41C5" w:rsidRPr="00F24575" w:rsidRDefault="006A41C5" w:rsidP="0009711C">
            <w:pPr>
              <w:jc w:val="center"/>
              <w:rPr>
                <w:color w:val="000000"/>
              </w:rPr>
            </w:pPr>
            <w:r w:rsidRPr="00F24575">
              <w:rPr>
                <w:color w:val="000000"/>
              </w:rPr>
              <w:t>Nov</w:t>
            </w:r>
            <w:r>
              <w:rPr>
                <w:color w:val="000000"/>
              </w:rPr>
              <w:t>ember</w:t>
            </w:r>
            <w:r w:rsidRPr="00F24575">
              <w:rPr>
                <w:color w:val="000000"/>
              </w:rPr>
              <w:t>- 2020</w:t>
            </w:r>
          </w:p>
        </w:tc>
      </w:tr>
      <w:tr w:rsidR="006A41C5" w:rsidRPr="00F24575" w:rsidTr="006A41C5">
        <w:trPr>
          <w:trHeight w:val="1988"/>
        </w:trPr>
        <w:tc>
          <w:tcPr>
            <w:tcW w:w="871" w:type="pct"/>
            <w:vAlign w:val="center"/>
          </w:tcPr>
          <w:p w:rsidR="006A41C5" w:rsidRPr="00F24575" w:rsidRDefault="006A41C5" w:rsidP="006A41C5">
            <w:pPr>
              <w:rPr>
                <w:color w:val="000000"/>
              </w:rPr>
            </w:pPr>
            <w:r w:rsidRPr="00F24575">
              <w:rPr>
                <w:color w:val="000000"/>
              </w:rPr>
              <w:lastRenderedPageBreak/>
              <w:t>CCP’s competition compliance program to be updated on KFTC</w:t>
            </w:r>
            <w:r w:rsidR="00E94DBA">
              <w:rPr>
                <w:rStyle w:val="FootnoteReference"/>
                <w:color w:val="000000"/>
              </w:rPr>
              <w:footnoteReference w:id="11"/>
            </w:r>
            <w:r w:rsidRPr="00F24575">
              <w:rPr>
                <w:color w:val="000000"/>
              </w:rPr>
              <w:t xml:space="preserve"> CP</w:t>
            </w:r>
            <w:r w:rsidR="009966C3">
              <w:rPr>
                <w:rStyle w:val="FootnoteReference"/>
                <w:color w:val="000000"/>
              </w:rPr>
              <w:footnoteReference w:id="12"/>
            </w:r>
            <w:r w:rsidRPr="00F24575">
              <w:rPr>
                <w:color w:val="000000"/>
              </w:rPr>
              <w:t xml:space="preserve"> model</w:t>
            </w:r>
          </w:p>
        </w:tc>
        <w:tc>
          <w:tcPr>
            <w:tcW w:w="1007" w:type="pct"/>
            <w:vAlign w:val="center"/>
          </w:tcPr>
          <w:p w:rsidR="006A41C5" w:rsidRPr="00F24575" w:rsidRDefault="006A41C5" w:rsidP="00205A7C">
            <w:pPr>
              <w:pStyle w:val="ListParagraph"/>
              <w:numPr>
                <w:ilvl w:val="0"/>
                <w:numId w:val="22"/>
              </w:numPr>
              <w:spacing w:before="120" w:after="120"/>
              <w:ind w:left="422"/>
            </w:pPr>
            <w:r w:rsidRPr="00F24575">
              <w:t>Enhanced implementation of voluntary compliance program</w:t>
            </w:r>
          </w:p>
          <w:p w:rsidR="006A41C5" w:rsidRPr="00F24575" w:rsidRDefault="006A41C5" w:rsidP="006A41C5">
            <w:pPr>
              <w:pStyle w:val="ListParagraph"/>
              <w:spacing w:before="120" w:after="120"/>
              <w:ind w:left="656"/>
            </w:pPr>
          </w:p>
        </w:tc>
        <w:tc>
          <w:tcPr>
            <w:tcW w:w="1006" w:type="pct"/>
            <w:vAlign w:val="center"/>
          </w:tcPr>
          <w:p w:rsidR="006A41C5" w:rsidRPr="00F24575" w:rsidRDefault="006A41C5" w:rsidP="00205A7C">
            <w:pPr>
              <w:pStyle w:val="ListParagraph"/>
              <w:numPr>
                <w:ilvl w:val="0"/>
                <w:numId w:val="10"/>
              </w:numPr>
              <w:spacing w:before="120" w:after="120"/>
              <w:ind w:left="360"/>
              <w:rPr>
                <w:color w:val="000000"/>
              </w:rPr>
            </w:pPr>
            <w:r w:rsidRPr="00F24575">
              <w:rPr>
                <w:color w:val="000000"/>
              </w:rPr>
              <w:t>Various interactive sessions with undertakings on compliance program</w:t>
            </w:r>
          </w:p>
          <w:p w:rsidR="006A41C5" w:rsidRPr="00F24575" w:rsidRDefault="006A41C5" w:rsidP="00205A7C">
            <w:pPr>
              <w:pStyle w:val="ListParagraph"/>
              <w:numPr>
                <w:ilvl w:val="0"/>
                <w:numId w:val="10"/>
              </w:numPr>
              <w:spacing w:before="120" w:after="120"/>
              <w:ind w:left="360"/>
              <w:rPr>
                <w:color w:val="000000"/>
              </w:rPr>
            </w:pPr>
            <w:r w:rsidRPr="00F24575">
              <w:rPr>
                <w:color w:val="000000"/>
              </w:rPr>
              <w:t xml:space="preserve">Developing in house compliance program on KFTC model </w:t>
            </w:r>
          </w:p>
          <w:p w:rsidR="006A41C5" w:rsidRPr="00F24575" w:rsidRDefault="006A41C5" w:rsidP="00205A7C">
            <w:pPr>
              <w:pStyle w:val="ListParagraph"/>
              <w:numPr>
                <w:ilvl w:val="0"/>
                <w:numId w:val="10"/>
              </w:numPr>
              <w:spacing w:before="120" w:after="120"/>
              <w:ind w:left="360"/>
              <w:rPr>
                <w:color w:val="000000"/>
              </w:rPr>
            </w:pPr>
            <w:r w:rsidRPr="00F24575">
              <w:rPr>
                <w:color w:val="000000"/>
              </w:rPr>
              <w:t>Incentivizing compliance program on KFTC model</w:t>
            </w:r>
          </w:p>
          <w:p w:rsidR="006A41C5" w:rsidRPr="00F24575" w:rsidRDefault="006A41C5" w:rsidP="006A41C5">
            <w:pPr>
              <w:pStyle w:val="ListParagraph"/>
              <w:spacing w:before="120" w:after="120"/>
              <w:ind w:left="360"/>
              <w:rPr>
                <w:color w:val="000000"/>
              </w:rPr>
            </w:pP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Default="006A41C5" w:rsidP="006A41C5">
            <w:pPr>
              <w:spacing w:before="120" w:after="120"/>
            </w:pPr>
          </w:p>
          <w:p w:rsidR="006A41C5" w:rsidRPr="00F24575" w:rsidRDefault="006A41C5" w:rsidP="0043072A">
            <w:pPr>
              <w:spacing w:before="120" w:after="120"/>
              <w:jc w:val="center"/>
            </w:pPr>
            <w:r>
              <w:t>Advocacy, CP&amp;R</w:t>
            </w:r>
            <w:r w:rsidR="0007203B">
              <w:rPr>
                <w:rStyle w:val="FootnoteReference"/>
              </w:rPr>
              <w:footnoteReference w:id="13"/>
            </w:r>
            <w:r>
              <w:t xml:space="preserve"> and </w:t>
            </w:r>
            <w:r w:rsidRPr="00F24575">
              <w:t>OIEA</w:t>
            </w:r>
          </w:p>
        </w:tc>
        <w:tc>
          <w:tcPr>
            <w:tcW w:w="566" w:type="pct"/>
            <w:vAlign w:val="center"/>
          </w:tcPr>
          <w:p w:rsidR="006A41C5" w:rsidRPr="00F24575" w:rsidRDefault="006A41C5" w:rsidP="0009711C">
            <w:pPr>
              <w:jc w:val="center"/>
              <w:rPr>
                <w:color w:val="000000"/>
              </w:rPr>
            </w:pPr>
            <w:r w:rsidRPr="00F24575">
              <w:rPr>
                <w:color w:val="000000"/>
              </w:rPr>
              <w:t>May-2020</w:t>
            </w:r>
          </w:p>
        </w:tc>
      </w:tr>
    </w:tbl>
    <w:p w:rsidR="00833F02" w:rsidRDefault="00833F02">
      <w:r>
        <w:br w:type="page"/>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607"/>
        <w:gridCol w:w="2605"/>
        <w:gridCol w:w="523"/>
        <w:gridCol w:w="523"/>
        <w:gridCol w:w="523"/>
        <w:gridCol w:w="523"/>
        <w:gridCol w:w="1922"/>
        <w:gridCol w:w="1469"/>
      </w:tblGrid>
      <w:tr w:rsidR="002478CB" w:rsidRPr="00F24575" w:rsidTr="00C67730">
        <w:trPr>
          <w:trHeight w:val="593"/>
        </w:trPr>
        <w:tc>
          <w:tcPr>
            <w:tcW w:w="5000" w:type="pct"/>
            <w:gridSpan w:val="9"/>
            <w:shd w:val="clear" w:color="auto" w:fill="A6A6A6" w:themeFill="background1" w:themeFillShade="A6"/>
            <w:vAlign w:val="center"/>
          </w:tcPr>
          <w:p w:rsidR="002478CB" w:rsidRPr="00F24575" w:rsidRDefault="003C22F7" w:rsidP="00650AFC">
            <w:pPr>
              <w:spacing w:before="120" w:after="120"/>
              <w:jc w:val="center"/>
            </w:pPr>
            <w:r w:rsidRPr="00F24575">
              <w:rPr>
                <w:b/>
                <w:bCs/>
                <w:color w:val="000000"/>
              </w:rPr>
              <w:lastRenderedPageBreak/>
              <w:t>OIA</w:t>
            </w:r>
          </w:p>
        </w:tc>
      </w:tr>
      <w:tr w:rsidR="006A41C5" w:rsidRPr="00F24575" w:rsidTr="00C64FC5">
        <w:trPr>
          <w:trHeight w:val="890"/>
        </w:trPr>
        <w:tc>
          <w:tcPr>
            <w:tcW w:w="871" w:type="pct"/>
            <w:vAlign w:val="center"/>
          </w:tcPr>
          <w:p w:rsidR="006A41C5" w:rsidRPr="00F24575" w:rsidRDefault="006A41C5" w:rsidP="006A41C5">
            <w:pPr>
              <w:autoSpaceDE w:val="0"/>
              <w:autoSpaceDN w:val="0"/>
              <w:adjustRightInd w:val="0"/>
              <w:spacing w:before="120" w:after="120" w:line="276" w:lineRule="auto"/>
              <w:rPr>
                <w:bCs/>
                <w:color w:val="000000"/>
              </w:rPr>
            </w:pPr>
            <w:r w:rsidRPr="00F24575">
              <w:rPr>
                <w:bCs/>
                <w:color w:val="000000"/>
              </w:rPr>
              <w:t>MOU with KFTC on collaboration and information sharing</w:t>
            </w:r>
          </w:p>
          <w:p w:rsidR="006A41C5" w:rsidRPr="00F24575" w:rsidRDefault="006A41C5" w:rsidP="006A41C5">
            <w:pPr>
              <w:autoSpaceDE w:val="0"/>
              <w:autoSpaceDN w:val="0"/>
              <w:adjustRightInd w:val="0"/>
              <w:spacing w:before="120" w:after="120" w:line="276" w:lineRule="auto"/>
              <w:rPr>
                <w:b/>
                <w:bCs/>
                <w:color w:val="000000"/>
              </w:rPr>
            </w:pPr>
          </w:p>
        </w:tc>
        <w:tc>
          <w:tcPr>
            <w:tcW w:w="1007" w:type="pct"/>
            <w:vAlign w:val="center"/>
          </w:tcPr>
          <w:p w:rsidR="006A41C5" w:rsidRPr="00F24575" w:rsidRDefault="006A41C5" w:rsidP="00205A7C">
            <w:pPr>
              <w:pStyle w:val="ListParagraph"/>
              <w:numPr>
                <w:ilvl w:val="0"/>
                <w:numId w:val="23"/>
              </w:numPr>
              <w:spacing w:before="120" w:after="120"/>
              <w:ind w:left="424" w:hanging="358"/>
            </w:pPr>
            <w:r w:rsidRPr="00F24575">
              <w:t>Information sharing and collaboration between CCP and KFTC</w:t>
            </w:r>
          </w:p>
        </w:tc>
        <w:tc>
          <w:tcPr>
            <w:tcW w:w="1006" w:type="pct"/>
            <w:shd w:val="clear" w:color="auto" w:fill="FFFFFF" w:themeFill="background1"/>
            <w:vAlign w:val="center"/>
          </w:tcPr>
          <w:p w:rsidR="006A41C5" w:rsidRDefault="006A41C5" w:rsidP="00205A7C">
            <w:pPr>
              <w:pStyle w:val="ListParagraph"/>
              <w:numPr>
                <w:ilvl w:val="0"/>
                <w:numId w:val="14"/>
              </w:numPr>
              <w:spacing w:before="120" w:after="120"/>
              <w:ind w:left="325"/>
              <w:rPr>
                <w:color w:val="000000"/>
              </w:rPr>
            </w:pPr>
            <w:r w:rsidRPr="00F24575">
              <w:rPr>
                <w:color w:val="000000"/>
              </w:rPr>
              <w:t>Submission of working paper to CCP</w:t>
            </w:r>
          </w:p>
          <w:p w:rsidR="006A41C5" w:rsidRPr="00F24575" w:rsidRDefault="006A41C5" w:rsidP="00205A7C">
            <w:pPr>
              <w:pStyle w:val="ListParagraph"/>
              <w:numPr>
                <w:ilvl w:val="0"/>
                <w:numId w:val="14"/>
              </w:numPr>
              <w:spacing w:before="120" w:after="120"/>
              <w:ind w:left="325"/>
              <w:rPr>
                <w:color w:val="000000"/>
              </w:rPr>
            </w:pPr>
            <w:r>
              <w:rPr>
                <w:color w:val="000000"/>
              </w:rPr>
              <w:t>Draft for approval from Commission of CCP.</w:t>
            </w:r>
          </w:p>
          <w:p w:rsidR="006A41C5" w:rsidRPr="00F24575" w:rsidRDefault="006A41C5" w:rsidP="00205A7C">
            <w:pPr>
              <w:pStyle w:val="ListParagraph"/>
              <w:numPr>
                <w:ilvl w:val="0"/>
                <w:numId w:val="14"/>
              </w:numPr>
              <w:spacing w:before="120" w:after="120"/>
              <w:ind w:left="325"/>
              <w:rPr>
                <w:color w:val="000000"/>
              </w:rPr>
            </w:pPr>
            <w:r w:rsidRPr="00F24575">
              <w:rPr>
                <w:color w:val="000000"/>
              </w:rPr>
              <w:t>Drafting and submission to KFTC</w:t>
            </w:r>
          </w:p>
          <w:p w:rsidR="006A41C5" w:rsidRPr="00F24575" w:rsidRDefault="006A41C5" w:rsidP="00205A7C">
            <w:pPr>
              <w:pStyle w:val="ListParagraph"/>
              <w:numPr>
                <w:ilvl w:val="0"/>
                <w:numId w:val="14"/>
              </w:numPr>
              <w:spacing w:before="120" w:after="120"/>
              <w:ind w:left="325"/>
              <w:rPr>
                <w:color w:val="000000"/>
              </w:rPr>
            </w:pPr>
            <w:r w:rsidRPr="00F24575">
              <w:rPr>
                <w:color w:val="000000"/>
              </w:rPr>
              <w:t>Feedback and correspondence with KFTC</w:t>
            </w:r>
          </w:p>
          <w:p w:rsidR="006A41C5" w:rsidRPr="00F24575" w:rsidRDefault="006A41C5" w:rsidP="00205A7C">
            <w:pPr>
              <w:pStyle w:val="ListParagraph"/>
              <w:numPr>
                <w:ilvl w:val="0"/>
                <w:numId w:val="14"/>
              </w:numPr>
              <w:spacing w:before="120" w:after="120"/>
              <w:ind w:left="325"/>
              <w:rPr>
                <w:color w:val="000000"/>
              </w:rPr>
            </w:pPr>
            <w:r w:rsidRPr="00F24575">
              <w:rPr>
                <w:color w:val="000000"/>
              </w:rPr>
              <w:t>Signing of MoU</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43072A">
            <w:pPr>
              <w:spacing w:before="120" w:after="120"/>
              <w:jc w:val="center"/>
            </w:pPr>
            <w:r w:rsidRPr="00F24575">
              <w:t>OIEA</w:t>
            </w:r>
          </w:p>
        </w:tc>
        <w:tc>
          <w:tcPr>
            <w:tcW w:w="567" w:type="pct"/>
            <w:vAlign w:val="center"/>
          </w:tcPr>
          <w:p w:rsidR="006A41C5" w:rsidRPr="00F24575" w:rsidRDefault="006A41C5" w:rsidP="005766A8">
            <w:pPr>
              <w:spacing w:before="120" w:after="120"/>
              <w:jc w:val="center"/>
            </w:pPr>
            <w:r w:rsidRPr="00F24575">
              <w:t>January 2020</w:t>
            </w:r>
          </w:p>
        </w:tc>
      </w:tr>
      <w:tr w:rsidR="006A41C5" w:rsidRPr="00F24575" w:rsidTr="00C64FC5">
        <w:trPr>
          <w:trHeight w:val="890"/>
        </w:trPr>
        <w:tc>
          <w:tcPr>
            <w:tcW w:w="871" w:type="pct"/>
            <w:vAlign w:val="center"/>
          </w:tcPr>
          <w:p w:rsidR="006A41C5" w:rsidRPr="00F24575" w:rsidRDefault="006A41C5" w:rsidP="006A41C5">
            <w:pPr>
              <w:autoSpaceDE w:val="0"/>
              <w:autoSpaceDN w:val="0"/>
              <w:adjustRightInd w:val="0"/>
              <w:spacing w:before="120" w:after="120" w:line="276" w:lineRule="auto"/>
              <w:rPr>
                <w:bCs/>
                <w:color w:val="000000"/>
              </w:rPr>
            </w:pPr>
            <w:r w:rsidRPr="00F24575">
              <w:rPr>
                <w:bCs/>
                <w:color w:val="000000"/>
              </w:rPr>
              <w:t xml:space="preserve">Implementation of KFTC Think Fair system </w:t>
            </w:r>
            <w:r>
              <w:rPr>
                <w:bCs/>
                <w:color w:val="000000"/>
              </w:rPr>
              <w:t>at CCP</w:t>
            </w:r>
          </w:p>
          <w:p w:rsidR="006A41C5" w:rsidRPr="00F24575" w:rsidRDefault="006A41C5" w:rsidP="006A41C5">
            <w:pPr>
              <w:autoSpaceDE w:val="0"/>
              <w:autoSpaceDN w:val="0"/>
              <w:adjustRightInd w:val="0"/>
              <w:spacing w:before="120" w:after="120" w:line="276" w:lineRule="auto"/>
              <w:rPr>
                <w:bCs/>
                <w:color w:val="000000"/>
              </w:rPr>
            </w:pPr>
          </w:p>
        </w:tc>
        <w:tc>
          <w:tcPr>
            <w:tcW w:w="1007" w:type="pct"/>
            <w:vAlign w:val="center"/>
          </w:tcPr>
          <w:p w:rsidR="006A41C5" w:rsidRPr="00F24575" w:rsidRDefault="006A41C5" w:rsidP="006A41C5">
            <w:pPr>
              <w:pStyle w:val="ListParagraph"/>
              <w:spacing w:before="120" w:after="120"/>
              <w:ind w:left="656"/>
              <w:rPr>
                <w:bCs/>
                <w:color w:val="000000"/>
              </w:rPr>
            </w:pPr>
          </w:p>
        </w:tc>
        <w:tc>
          <w:tcPr>
            <w:tcW w:w="1006" w:type="pct"/>
            <w:vAlign w:val="center"/>
          </w:tcPr>
          <w:p w:rsidR="006A41C5" w:rsidRPr="00F24575" w:rsidRDefault="006A41C5" w:rsidP="006A41C5">
            <w:pPr>
              <w:spacing w:before="120" w:after="120"/>
              <w:rPr>
                <w:color w:val="000000"/>
              </w:rPr>
            </w:pP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43072A">
            <w:pPr>
              <w:spacing w:before="120" w:after="120"/>
              <w:jc w:val="center"/>
            </w:pPr>
            <w:r w:rsidRPr="00F24575">
              <w:t>OIEA &amp; IS&amp;T</w:t>
            </w:r>
          </w:p>
        </w:tc>
        <w:tc>
          <w:tcPr>
            <w:tcW w:w="567" w:type="pct"/>
            <w:vAlign w:val="center"/>
          </w:tcPr>
          <w:p w:rsidR="006A41C5" w:rsidRPr="00F24575" w:rsidRDefault="006A41C5" w:rsidP="005766A8">
            <w:pPr>
              <w:spacing w:before="120" w:after="120"/>
              <w:jc w:val="center"/>
            </w:pPr>
            <w:r w:rsidRPr="00F24575">
              <w:t>2022</w:t>
            </w:r>
            <w:r>
              <w:t xml:space="preserve"> (After Think Fair has been implemented in the Philippines)</w:t>
            </w:r>
          </w:p>
        </w:tc>
      </w:tr>
    </w:tbl>
    <w:p w:rsidR="00833F02" w:rsidRDefault="00833F02">
      <w:r>
        <w:br w:type="page"/>
      </w:r>
    </w:p>
    <w:tbl>
      <w:tblPr>
        <w:tblpPr w:leftFromText="180" w:rightFromText="180" w:vertAnchor="text" w:horzAnchor="margin" w:tblpXSpec="right" w:tblpY="6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608"/>
        <w:gridCol w:w="2606"/>
        <w:gridCol w:w="523"/>
        <w:gridCol w:w="523"/>
        <w:gridCol w:w="523"/>
        <w:gridCol w:w="523"/>
        <w:gridCol w:w="1922"/>
        <w:gridCol w:w="1466"/>
      </w:tblGrid>
      <w:tr w:rsidR="0066166A" w:rsidRPr="00F24575" w:rsidTr="002E49CC">
        <w:trPr>
          <w:trHeight w:val="890"/>
        </w:trPr>
        <w:tc>
          <w:tcPr>
            <w:tcW w:w="5000" w:type="pct"/>
            <w:gridSpan w:val="9"/>
            <w:shd w:val="clear" w:color="auto" w:fill="A6A6A6" w:themeFill="background1" w:themeFillShade="A6"/>
            <w:vAlign w:val="center"/>
          </w:tcPr>
          <w:p w:rsidR="0066166A" w:rsidRPr="00F24575" w:rsidRDefault="0066166A" w:rsidP="0066166A">
            <w:pPr>
              <w:spacing w:before="120" w:after="120"/>
              <w:jc w:val="center"/>
              <w:rPr>
                <w:b/>
              </w:rPr>
            </w:pPr>
            <w:r w:rsidRPr="00F24575">
              <w:rPr>
                <w:b/>
              </w:rPr>
              <w:lastRenderedPageBreak/>
              <w:t>CARTEL &amp; TRADE ABUSE</w:t>
            </w:r>
          </w:p>
        </w:tc>
      </w:tr>
      <w:tr w:rsidR="006A41C5" w:rsidRPr="00F24575" w:rsidTr="006A41C5">
        <w:trPr>
          <w:trHeight w:val="890"/>
        </w:trPr>
        <w:tc>
          <w:tcPr>
            <w:tcW w:w="871" w:type="pct"/>
            <w:vAlign w:val="center"/>
          </w:tcPr>
          <w:p w:rsidR="006A41C5" w:rsidRPr="00F24575" w:rsidRDefault="006A41C5" w:rsidP="006A41C5">
            <w:r w:rsidRPr="00F24575">
              <w:t>Formulation of internal guidelines based on international best practices for cases on margin squeeze</w:t>
            </w:r>
          </w:p>
        </w:tc>
        <w:tc>
          <w:tcPr>
            <w:tcW w:w="1007" w:type="pct"/>
            <w:vAlign w:val="center"/>
          </w:tcPr>
          <w:p w:rsidR="006A41C5" w:rsidRPr="00F24575" w:rsidRDefault="006A41C5" w:rsidP="00205A7C">
            <w:pPr>
              <w:pStyle w:val="ListParagraph"/>
              <w:numPr>
                <w:ilvl w:val="0"/>
                <w:numId w:val="24"/>
              </w:numPr>
              <w:spacing w:after="200" w:line="276" w:lineRule="auto"/>
              <w:ind w:left="422"/>
            </w:pPr>
            <w:r w:rsidRPr="00F24575">
              <w:t>Internal guidelines for enquiry officers regarding analysis of margin squeeze cases.</w:t>
            </w:r>
          </w:p>
          <w:p w:rsidR="006A41C5" w:rsidRPr="00F24575" w:rsidRDefault="006A41C5" w:rsidP="00205A7C">
            <w:pPr>
              <w:pStyle w:val="ListParagraph"/>
              <w:numPr>
                <w:ilvl w:val="0"/>
                <w:numId w:val="24"/>
              </w:numPr>
              <w:spacing w:after="200" w:line="276" w:lineRule="auto"/>
              <w:ind w:left="422"/>
            </w:pPr>
            <w:r w:rsidRPr="00F24575">
              <w:t xml:space="preserve">Application of methodologies to cases of margin squeeze. </w:t>
            </w:r>
          </w:p>
          <w:p w:rsidR="006A41C5" w:rsidRPr="00F24575" w:rsidRDefault="006A41C5" w:rsidP="006A41C5">
            <w:pPr>
              <w:numPr>
                <w:ilvl w:val="12"/>
                <w:numId w:val="0"/>
              </w:numPr>
              <w:autoSpaceDE w:val="0"/>
              <w:autoSpaceDN w:val="0"/>
              <w:adjustRightInd w:val="0"/>
              <w:spacing w:before="120" w:after="120" w:line="276" w:lineRule="auto"/>
              <w:rPr>
                <w:bCs/>
                <w:color w:val="000000"/>
              </w:rPr>
            </w:pPr>
          </w:p>
        </w:tc>
        <w:tc>
          <w:tcPr>
            <w:tcW w:w="1006" w:type="pct"/>
            <w:vAlign w:val="center"/>
          </w:tcPr>
          <w:p w:rsidR="006A41C5" w:rsidRPr="00F24575" w:rsidRDefault="006A41C5" w:rsidP="00205A7C">
            <w:pPr>
              <w:pStyle w:val="ListParagraph"/>
              <w:numPr>
                <w:ilvl w:val="0"/>
                <w:numId w:val="11"/>
              </w:numPr>
              <w:spacing w:after="200" w:line="276" w:lineRule="auto"/>
              <w:ind w:left="360"/>
            </w:pPr>
            <w:r w:rsidRPr="00F24575">
              <w:t xml:space="preserve">Assessment of legal </w:t>
            </w:r>
            <w:r w:rsidRPr="00F24575">
              <w:t>and economic framework and major case law of EU, US, Korea.</w:t>
            </w:r>
          </w:p>
          <w:p w:rsidR="006A41C5" w:rsidRPr="00F24575" w:rsidRDefault="006A41C5" w:rsidP="00205A7C">
            <w:pPr>
              <w:pStyle w:val="ListParagraph"/>
              <w:numPr>
                <w:ilvl w:val="0"/>
                <w:numId w:val="11"/>
              </w:numPr>
              <w:spacing w:after="200" w:line="276" w:lineRule="auto"/>
              <w:ind w:left="360"/>
            </w:pPr>
            <w:r w:rsidRPr="00F24575">
              <w:t xml:space="preserve">Comparison, evaluation and applicability of  practices that can be adopted under competition regime in Pakistan </w:t>
            </w:r>
          </w:p>
          <w:p w:rsidR="006A41C5" w:rsidRPr="00F24575" w:rsidRDefault="006A41C5" w:rsidP="00205A7C">
            <w:pPr>
              <w:pStyle w:val="ListParagraph"/>
              <w:numPr>
                <w:ilvl w:val="0"/>
                <w:numId w:val="11"/>
              </w:numPr>
              <w:spacing w:after="200" w:line="276" w:lineRule="auto"/>
              <w:ind w:left="360"/>
            </w:pPr>
            <w:r w:rsidRPr="00F24575">
              <w:t xml:space="preserve">Formulation of guidelines for stepwise calculation which will include conditions for margin squeeze such as W&gt;P1-C1 and classification of costs to include. </w:t>
            </w:r>
          </w:p>
          <w:p w:rsidR="006A41C5" w:rsidRPr="00F24575" w:rsidRDefault="006A41C5" w:rsidP="00205A7C">
            <w:pPr>
              <w:pStyle w:val="ListParagraph"/>
              <w:numPr>
                <w:ilvl w:val="0"/>
                <w:numId w:val="11"/>
              </w:numPr>
              <w:spacing w:after="200" w:line="276" w:lineRule="auto"/>
              <w:ind w:left="360"/>
            </w:pPr>
            <w:r w:rsidRPr="00F24575">
              <w:lastRenderedPageBreak/>
              <w:t xml:space="preserve">Placement of draft document for approval by the Commission. </w:t>
            </w:r>
          </w:p>
        </w:tc>
        <w:tc>
          <w:tcPr>
            <w:tcW w:w="202" w:type="pct"/>
            <w:vAlign w:val="center"/>
          </w:tcPr>
          <w:p w:rsidR="006A41C5" w:rsidRPr="00F24575" w:rsidRDefault="006A41C5" w:rsidP="006A41C5">
            <w:pPr>
              <w:spacing w:before="120" w:after="120"/>
            </w:pPr>
            <w:r>
              <w:lastRenderedPageBreak/>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43072A">
            <w:pPr>
              <w:spacing w:before="120" w:after="120"/>
              <w:jc w:val="center"/>
            </w:pPr>
            <w:r w:rsidRPr="00F24575">
              <w:t>C&amp;TA</w:t>
            </w:r>
            <w:r w:rsidR="0059408E">
              <w:rPr>
                <w:rStyle w:val="FootnoteReference"/>
              </w:rPr>
              <w:footnoteReference w:id="14"/>
            </w:r>
          </w:p>
        </w:tc>
        <w:tc>
          <w:tcPr>
            <w:tcW w:w="566" w:type="pct"/>
            <w:vAlign w:val="center"/>
          </w:tcPr>
          <w:p w:rsidR="006A41C5" w:rsidRPr="00F24575" w:rsidRDefault="006A41C5" w:rsidP="0009711C">
            <w:pPr>
              <w:spacing w:before="120" w:after="120"/>
              <w:jc w:val="center"/>
            </w:pPr>
            <w:r>
              <w:t>May-</w:t>
            </w:r>
            <w:r w:rsidRPr="00F24575">
              <w:t>2020</w:t>
            </w:r>
          </w:p>
        </w:tc>
      </w:tr>
      <w:tr w:rsidR="006A41C5" w:rsidRPr="00F24575" w:rsidTr="006A41C5">
        <w:trPr>
          <w:trHeight w:val="890"/>
        </w:trPr>
        <w:tc>
          <w:tcPr>
            <w:tcW w:w="871" w:type="pct"/>
            <w:vAlign w:val="center"/>
          </w:tcPr>
          <w:p w:rsidR="006A41C5" w:rsidRPr="00F24575" w:rsidRDefault="006A41C5" w:rsidP="006A41C5">
            <w:r w:rsidRPr="00F24575">
              <w:t>Guaranteed access to essential facilities to all market competitors</w:t>
            </w:r>
          </w:p>
          <w:p w:rsidR="006A41C5" w:rsidRPr="00F24575" w:rsidRDefault="006A41C5" w:rsidP="006A41C5">
            <w:pPr>
              <w:tabs>
                <w:tab w:val="left" w:pos="967"/>
              </w:tabs>
              <w:autoSpaceDE w:val="0"/>
              <w:autoSpaceDN w:val="0"/>
              <w:adjustRightInd w:val="0"/>
              <w:spacing w:before="120" w:after="120" w:line="276" w:lineRule="auto"/>
              <w:rPr>
                <w:bCs/>
                <w:color w:val="000000"/>
              </w:rPr>
            </w:pPr>
          </w:p>
        </w:tc>
        <w:tc>
          <w:tcPr>
            <w:tcW w:w="1007" w:type="pct"/>
            <w:vAlign w:val="center"/>
          </w:tcPr>
          <w:p w:rsidR="006A41C5" w:rsidRPr="00F24575" w:rsidRDefault="006A41C5" w:rsidP="00205A7C">
            <w:pPr>
              <w:pStyle w:val="ListParagraph"/>
              <w:numPr>
                <w:ilvl w:val="0"/>
                <w:numId w:val="3"/>
              </w:numPr>
              <w:spacing w:after="200" w:line="276" w:lineRule="auto"/>
              <w:ind w:left="422"/>
            </w:pPr>
            <w:r w:rsidRPr="00F24575">
              <w:t>Guidelines on guaranteed access to essential facilities in telecom industry (Right of Way).</w:t>
            </w:r>
          </w:p>
          <w:p w:rsidR="006A41C5" w:rsidRPr="00F24575" w:rsidRDefault="006A41C5" w:rsidP="00205A7C">
            <w:pPr>
              <w:pStyle w:val="ListParagraph"/>
              <w:numPr>
                <w:ilvl w:val="0"/>
                <w:numId w:val="3"/>
              </w:numPr>
              <w:spacing w:after="200" w:line="276" w:lineRule="auto"/>
              <w:ind w:left="422"/>
            </w:pPr>
            <w:r w:rsidRPr="00F24575">
              <w:t>Guidelines on guaranteed access to essential facilities in aviation fuel supply market.</w:t>
            </w:r>
          </w:p>
          <w:p w:rsidR="006A41C5" w:rsidRPr="00F24575" w:rsidRDefault="006A41C5" w:rsidP="006A41C5">
            <w:pPr>
              <w:numPr>
                <w:ilvl w:val="12"/>
                <w:numId w:val="0"/>
              </w:numPr>
              <w:autoSpaceDE w:val="0"/>
              <w:autoSpaceDN w:val="0"/>
              <w:adjustRightInd w:val="0"/>
              <w:spacing w:before="120" w:after="120" w:line="276" w:lineRule="auto"/>
              <w:rPr>
                <w:bCs/>
                <w:color w:val="000000"/>
              </w:rPr>
            </w:pPr>
          </w:p>
        </w:tc>
        <w:tc>
          <w:tcPr>
            <w:tcW w:w="1006" w:type="pct"/>
            <w:vAlign w:val="center"/>
          </w:tcPr>
          <w:p w:rsidR="006A41C5" w:rsidRPr="00F24575" w:rsidRDefault="006A41C5" w:rsidP="00205A7C">
            <w:pPr>
              <w:pStyle w:val="ListParagraph"/>
              <w:numPr>
                <w:ilvl w:val="0"/>
                <w:numId w:val="12"/>
              </w:numPr>
              <w:spacing w:after="200" w:line="276" w:lineRule="auto"/>
              <w:ind w:left="360"/>
            </w:pPr>
            <w:r w:rsidRPr="00F24575">
              <w:t>Identification of anti-competitive issues based on current cases.</w:t>
            </w:r>
          </w:p>
          <w:p w:rsidR="006A41C5" w:rsidRPr="00F24575" w:rsidRDefault="006A41C5" w:rsidP="00205A7C">
            <w:pPr>
              <w:pStyle w:val="ListParagraph"/>
              <w:numPr>
                <w:ilvl w:val="0"/>
                <w:numId w:val="12"/>
              </w:numPr>
              <w:spacing w:after="200" w:line="276" w:lineRule="auto"/>
              <w:ind w:left="360"/>
            </w:pPr>
            <w:r w:rsidRPr="00F24575">
              <w:t>Identification and general assessment of agreements that grant exclusive rights in terms of essential facilities.</w:t>
            </w:r>
          </w:p>
          <w:p w:rsidR="006A41C5" w:rsidRPr="00F24575" w:rsidRDefault="006A41C5" w:rsidP="00205A7C">
            <w:pPr>
              <w:pStyle w:val="ListParagraph"/>
              <w:numPr>
                <w:ilvl w:val="0"/>
                <w:numId w:val="12"/>
              </w:numPr>
              <w:spacing w:after="200" w:line="276" w:lineRule="auto"/>
              <w:ind w:left="360"/>
            </w:pPr>
            <w:r w:rsidRPr="00F24575">
              <w:t xml:space="preserve">Study of international framework on grant of essential </w:t>
            </w:r>
            <w:r>
              <w:t>facilities.</w:t>
            </w:r>
          </w:p>
          <w:p w:rsidR="006A41C5" w:rsidRPr="00F24575" w:rsidRDefault="006A41C5" w:rsidP="00205A7C">
            <w:pPr>
              <w:pStyle w:val="ListParagraph"/>
              <w:numPr>
                <w:ilvl w:val="0"/>
                <w:numId w:val="12"/>
              </w:numPr>
              <w:spacing w:after="200" w:line="276" w:lineRule="auto"/>
              <w:ind w:left="360"/>
            </w:pPr>
            <w:r w:rsidRPr="00F24575">
              <w:t>Liaiso</w:t>
            </w:r>
            <w:r>
              <w:t>n with the relevant regulators.</w:t>
            </w:r>
          </w:p>
          <w:p w:rsidR="006A41C5" w:rsidRPr="00F24575" w:rsidRDefault="006A41C5" w:rsidP="006A41C5">
            <w:pPr>
              <w:spacing w:before="120" w:after="120"/>
              <w:rPr>
                <w:color w:val="000000"/>
              </w:rPr>
            </w:pP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Pr="00F24575" w:rsidRDefault="006A41C5" w:rsidP="0043072A">
            <w:pPr>
              <w:spacing w:before="120" w:after="120"/>
              <w:jc w:val="center"/>
            </w:pPr>
            <w:r w:rsidRPr="00F24575">
              <w:t>C&amp;TA</w:t>
            </w:r>
            <w:r w:rsidR="00D56A6D">
              <w:t xml:space="preserve"> and </w:t>
            </w:r>
            <w:r w:rsidRPr="00F24575">
              <w:t>Exemptions</w:t>
            </w:r>
          </w:p>
        </w:tc>
        <w:tc>
          <w:tcPr>
            <w:tcW w:w="566" w:type="pct"/>
            <w:vAlign w:val="center"/>
          </w:tcPr>
          <w:p w:rsidR="006A41C5" w:rsidRDefault="006A41C5" w:rsidP="006A41C5">
            <w:pPr>
              <w:spacing w:before="120" w:after="120"/>
            </w:pPr>
          </w:p>
          <w:p w:rsidR="006A41C5" w:rsidRPr="00F24575" w:rsidRDefault="006A41C5" w:rsidP="0009711C">
            <w:pPr>
              <w:spacing w:before="120" w:after="120"/>
            </w:pPr>
            <w:r>
              <w:t>May-</w:t>
            </w:r>
            <w:r w:rsidRPr="00F24575">
              <w:t>2020</w:t>
            </w:r>
          </w:p>
          <w:p w:rsidR="006A41C5" w:rsidRPr="00F24575" w:rsidRDefault="006A41C5" w:rsidP="006A41C5">
            <w:pPr>
              <w:spacing w:before="120" w:after="120"/>
            </w:pPr>
          </w:p>
        </w:tc>
      </w:tr>
      <w:tr w:rsidR="006A41C5" w:rsidRPr="00F24575" w:rsidTr="006A41C5">
        <w:trPr>
          <w:trHeight w:val="890"/>
        </w:trPr>
        <w:tc>
          <w:tcPr>
            <w:tcW w:w="871" w:type="pct"/>
            <w:vAlign w:val="center"/>
          </w:tcPr>
          <w:p w:rsidR="006A41C5" w:rsidRPr="00F24575" w:rsidRDefault="006A41C5" w:rsidP="006A41C5">
            <w:r w:rsidRPr="00F24575">
              <w:t>Introduction of Amnesty Plus Scheme</w:t>
            </w:r>
          </w:p>
        </w:tc>
        <w:tc>
          <w:tcPr>
            <w:tcW w:w="1007" w:type="pct"/>
            <w:vAlign w:val="center"/>
          </w:tcPr>
          <w:p w:rsidR="006A41C5" w:rsidRPr="00F24575" w:rsidRDefault="006A41C5" w:rsidP="00205A7C">
            <w:pPr>
              <w:pStyle w:val="ListParagraph"/>
              <w:numPr>
                <w:ilvl w:val="0"/>
                <w:numId w:val="25"/>
              </w:numPr>
              <w:spacing w:after="200" w:line="276" w:lineRule="auto"/>
              <w:ind w:left="422"/>
            </w:pPr>
            <w:r w:rsidRPr="00F24575">
              <w:t>Improved detection of cartel activity.</w:t>
            </w:r>
          </w:p>
          <w:p w:rsidR="006A41C5" w:rsidRPr="00F24575" w:rsidRDefault="006A41C5" w:rsidP="006A41C5">
            <w:pPr>
              <w:pStyle w:val="ListParagraph"/>
              <w:spacing w:after="200" w:line="276" w:lineRule="auto"/>
              <w:ind w:left="1080"/>
            </w:pPr>
          </w:p>
        </w:tc>
        <w:tc>
          <w:tcPr>
            <w:tcW w:w="1006" w:type="pct"/>
            <w:vAlign w:val="center"/>
          </w:tcPr>
          <w:p w:rsidR="006A41C5" w:rsidRPr="00F24575" w:rsidRDefault="006A41C5" w:rsidP="00205A7C">
            <w:pPr>
              <w:pStyle w:val="ListParagraph"/>
              <w:numPr>
                <w:ilvl w:val="0"/>
                <w:numId w:val="13"/>
              </w:numPr>
              <w:spacing w:after="200" w:line="276" w:lineRule="auto"/>
              <w:ind w:left="360"/>
            </w:pPr>
            <w:r w:rsidRPr="00F24575">
              <w:t xml:space="preserve">Review of existing leniency &amp; Amnesty Plus regulations in line with </w:t>
            </w:r>
            <w:r w:rsidRPr="00F24575">
              <w:lastRenderedPageBreak/>
              <w:t>international best practices esp. KFTC.</w:t>
            </w:r>
          </w:p>
          <w:p w:rsidR="006A41C5" w:rsidRPr="00F24575" w:rsidRDefault="006A41C5" w:rsidP="00205A7C">
            <w:pPr>
              <w:pStyle w:val="ListParagraph"/>
              <w:numPr>
                <w:ilvl w:val="0"/>
                <w:numId w:val="13"/>
              </w:numPr>
              <w:spacing w:after="200" w:line="276" w:lineRule="auto"/>
              <w:ind w:left="360"/>
            </w:pPr>
            <w:r w:rsidRPr="00F24575">
              <w:t>Draft Amnesty Plus regulations to be presented to the Commission for approval.</w:t>
            </w:r>
          </w:p>
        </w:tc>
        <w:tc>
          <w:tcPr>
            <w:tcW w:w="202" w:type="pct"/>
            <w:vAlign w:val="center"/>
          </w:tcPr>
          <w:p w:rsidR="006A41C5" w:rsidRPr="00F24575" w:rsidRDefault="006A41C5" w:rsidP="006A41C5">
            <w:pPr>
              <w:spacing w:before="120" w:after="120"/>
            </w:pPr>
            <w:r>
              <w:lastRenderedPageBreak/>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202" w:type="pct"/>
            <w:vAlign w:val="center"/>
          </w:tcPr>
          <w:p w:rsidR="006A41C5" w:rsidRPr="00F24575" w:rsidRDefault="006A41C5" w:rsidP="006A41C5">
            <w:pPr>
              <w:spacing w:before="120" w:after="120"/>
            </w:pPr>
            <w:r>
              <w:t>-</w:t>
            </w:r>
          </w:p>
        </w:tc>
        <w:tc>
          <w:tcPr>
            <w:tcW w:w="742" w:type="pct"/>
            <w:vAlign w:val="center"/>
          </w:tcPr>
          <w:p w:rsidR="006A41C5" w:rsidRDefault="006A41C5" w:rsidP="006A41C5">
            <w:pPr>
              <w:spacing w:before="120" w:after="120"/>
            </w:pPr>
          </w:p>
          <w:p w:rsidR="006A41C5" w:rsidRPr="00F24575" w:rsidRDefault="006A41C5" w:rsidP="0043072A">
            <w:pPr>
              <w:spacing w:before="120" w:after="120"/>
              <w:jc w:val="center"/>
            </w:pPr>
            <w:r w:rsidRPr="00F24575">
              <w:t>C&amp;TA</w:t>
            </w:r>
            <w:r>
              <w:t xml:space="preserve"> and</w:t>
            </w:r>
            <w:r w:rsidRPr="00F24575">
              <w:t xml:space="preserve"> Legal</w:t>
            </w:r>
          </w:p>
        </w:tc>
        <w:tc>
          <w:tcPr>
            <w:tcW w:w="566" w:type="pct"/>
            <w:vAlign w:val="center"/>
          </w:tcPr>
          <w:p w:rsidR="006A41C5" w:rsidRDefault="006A41C5" w:rsidP="006A41C5">
            <w:pPr>
              <w:spacing w:before="120" w:after="120"/>
            </w:pPr>
          </w:p>
          <w:p w:rsidR="006A41C5" w:rsidRPr="00F24575" w:rsidRDefault="006A41C5" w:rsidP="0009711C">
            <w:pPr>
              <w:spacing w:before="120" w:after="120"/>
              <w:jc w:val="center"/>
            </w:pPr>
            <w:r w:rsidRPr="00F24575">
              <w:t>December</w:t>
            </w:r>
            <w:r>
              <w:t>-</w:t>
            </w:r>
            <w:r w:rsidRPr="00F24575">
              <w:t xml:space="preserve"> 2019</w:t>
            </w:r>
          </w:p>
        </w:tc>
      </w:tr>
    </w:tbl>
    <w:p w:rsidR="00FA4419" w:rsidRPr="00F24575" w:rsidRDefault="00FA4419" w:rsidP="00BD26ED">
      <w:pPr>
        <w:spacing w:before="120" w:after="120"/>
        <w:rPr>
          <w:b/>
          <w:bCs/>
        </w:rPr>
      </w:pPr>
    </w:p>
    <w:p w:rsidR="00FA4419" w:rsidRPr="00F24575" w:rsidRDefault="00FA4419" w:rsidP="002E49CC">
      <w:pPr>
        <w:spacing w:before="120" w:after="120"/>
      </w:pPr>
    </w:p>
    <w:p w:rsidR="00FA4419" w:rsidRPr="00F24575" w:rsidRDefault="00FA4419" w:rsidP="00BD26ED">
      <w:pPr>
        <w:spacing w:before="120" w:after="120"/>
      </w:pPr>
    </w:p>
    <w:p w:rsidR="00975488" w:rsidRPr="00F24575" w:rsidRDefault="00975488" w:rsidP="00BD26ED">
      <w:pPr>
        <w:spacing w:before="120" w:after="120"/>
      </w:pPr>
    </w:p>
    <w:sectPr w:rsidR="00975488" w:rsidRPr="00F24575" w:rsidSect="00414EEE">
      <w:head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7C" w:rsidRDefault="00205A7C">
      <w:r>
        <w:separator/>
      </w:r>
    </w:p>
  </w:endnote>
  <w:endnote w:type="continuationSeparator" w:id="0">
    <w:p w:rsidR="00205A7C" w:rsidRDefault="0020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7C" w:rsidRDefault="00205A7C">
      <w:r>
        <w:separator/>
      </w:r>
    </w:p>
  </w:footnote>
  <w:footnote w:type="continuationSeparator" w:id="0">
    <w:p w:rsidR="00205A7C" w:rsidRDefault="00205A7C">
      <w:r>
        <w:continuationSeparator/>
      </w:r>
    </w:p>
  </w:footnote>
  <w:footnote w:id="1">
    <w:p w:rsidR="00CE23FB" w:rsidRDefault="00CE23FB">
      <w:pPr>
        <w:pStyle w:val="FootnoteText"/>
      </w:pPr>
      <w:r>
        <w:rPr>
          <w:rStyle w:val="FootnoteReference"/>
        </w:rPr>
        <w:footnoteRef/>
      </w:r>
      <w:r>
        <w:t xml:space="preserve"> Competition Commission of Pakistan</w:t>
      </w:r>
    </w:p>
  </w:footnote>
  <w:footnote w:id="2">
    <w:p w:rsidR="00CE23FB" w:rsidRDefault="00CE23FB">
      <w:pPr>
        <w:pStyle w:val="FootnoteText"/>
      </w:pPr>
      <w:r>
        <w:rPr>
          <w:rStyle w:val="FootnoteReference"/>
        </w:rPr>
        <w:footnoteRef/>
      </w:r>
      <w:r>
        <w:t xml:space="preserve"> Statutory Regulatory Order</w:t>
      </w:r>
    </w:p>
  </w:footnote>
  <w:footnote w:id="3">
    <w:p w:rsidR="00CE23FB" w:rsidRDefault="00CE23FB">
      <w:pPr>
        <w:pStyle w:val="FootnoteText"/>
      </w:pPr>
      <w:r>
        <w:rPr>
          <w:rStyle w:val="FootnoteReference"/>
        </w:rPr>
        <w:footnoteRef/>
      </w:r>
      <w:r>
        <w:t xml:space="preserve"> Ministry of Finance</w:t>
      </w:r>
    </w:p>
  </w:footnote>
  <w:footnote w:id="4">
    <w:p w:rsidR="00FE5F23" w:rsidRDefault="00FE5F23">
      <w:pPr>
        <w:pStyle w:val="FootnoteText"/>
      </w:pPr>
      <w:r>
        <w:rPr>
          <w:rStyle w:val="FootnoteReference"/>
        </w:rPr>
        <w:footnoteRef/>
      </w:r>
      <w:r>
        <w:t xml:space="preserve"> Office of International and External Affairs</w:t>
      </w:r>
    </w:p>
  </w:footnote>
  <w:footnote w:id="5">
    <w:p w:rsidR="00ED1019" w:rsidRDefault="00ED1019">
      <w:pPr>
        <w:pStyle w:val="FootnoteText"/>
      </w:pPr>
      <w:r>
        <w:rPr>
          <w:rStyle w:val="FootnoteReference"/>
        </w:rPr>
        <w:footnoteRef/>
      </w:r>
      <w:r>
        <w:t xml:space="preserve"> Memorandum of Understanding</w:t>
      </w:r>
    </w:p>
  </w:footnote>
  <w:footnote w:id="6">
    <w:p w:rsidR="000F5B49" w:rsidRDefault="000F5B49">
      <w:pPr>
        <w:pStyle w:val="FootnoteText"/>
      </w:pPr>
      <w:r>
        <w:rPr>
          <w:rStyle w:val="FootnoteReference"/>
        </w:rPr>
        <w:footnoteRef/>
      </w:r>
      <w:r>
        <w:t xml:space="preserve"> </w:t>
      </w:r>
      <w:r w:rsidR="00835935">
        <w:t>No Objection Certificate</w:t>
      </w:r>
    </w:p>
  </w:footnote>
  <w:footnote w:id="7">
    <w:p w:rsidR="00C75AB6" w:rsidRDefault="00C75AB6">
      <w:pPr>
        <w:pStyle w:val="FootnoteText"/>
      </w:pPr>
      <w:r>
        <w:rPr>
          <w:rStyle w:val="FootnoteReference"/>
        </w:rPr>
        <w:footnoteRef/>
      </w:r>
      <w:r>
        <w:t xml:space="preserve"> Securities and Exchange Commission of Pakistan</w:t>
      </w:r>
    </w:p>
  </w:footnote>
  <w:footnote w:id="8">
    <w:p w:rsidR="007408A8" w:rsidRDefault="007408A8">
      <w:pPr>
        <w:pStyle w:val="FootnoteText"/>
      </w:pPr>
      <w:r>
        <w:rPr>
          <w:rStyle w:val="FootnoteReference"/>
        </w:rPr>
        <w:footnoteRef/>
      </w:r>
      <w:r>
        <w:t xml:space="preserve"> Korea Consumer Agency</w:t>
      </w:r>
    </w:p>
  </w:footnote>
  <w:footnote w:id="9">
    <w:p w:rsidR="00BD7A5E" w:rsidRDefault="00BD7A5E">
      <w:pPr>
        <w:pStyle w:val="FootnoteText"/>
      </w:pPr>
      <w:r>
        <w:rPr>
          <w:rStyle w:val="FootnoteReference"/>
        </w:rPr>
        <w:footnoteRef/>
      </w:r>
      <w:r>
        <w:t xml:space="preserve"> Information Systems and Technology</w:t>
      </w:r>
    </w:p>
  </w:footnote>
  <w:footnote w:id="10">
    <w:p w:rsidR="009A63FE" w:rsidRDefault="009A63FE">
      <w:pPr>
        <w:pStyle w:val="FootnoteText"/>
      </w:pPr>
      <w:r>
        <w:rPr>
          <w:rStyle w:val="FootnoteReference"/>
        </w:rPr>
        <w:footnoteRef/>
      </w:r>
      <w:r>
        <w:t xml:space="preserve"> Small and Medium Enterprises</w:t>
      </w:r>
    </w:p>
  </w:footnote>
  <w:footnote w:id="11">
    <w:p w:rsidR="00E94DBA" w:rsidRDefault="00E94DBA">
      <w:pPr>
        <w:pStyle w:val="FootnoteText"/>
      </w:pPr>
      <w:r>
        <w:rPr>
          <w:rStyle w:val="FootnoteReference"/>
        </w:rPr>
        <w:footnoteRef/>
      </w:r>
      <w:r>
        <w:t xml:space="preserve"> Korea Fair Trade Commission</w:t>
      </w:r>
    </w:p>
  </w:footnote>
  <w:footnote w:id="12">
    <w:p w:rsidR="009966C3" w:rsidRDefault="009966C3">
      <w:pPr>
        <w:pStyle w:val="FootnoteText"/>
      </w:pPr>
      <w:r>
        <w:rPr>
          <w:rStyle w:val="FootnoteReference"/>
        </w:rPr>
        <w:footnoteRef/>
      </w:r>
      <w:r>
        <w:t xml:space="preserve"> Compliance Program</w:t>
      </w:r>
    </w:p>
  </w:footnote>
  <w:footnote w:id="13">
    <w:p w:rsidR="0007203B" w:rsidRDefault="0007203B">
      <w:pPr>
        <w:pStyle w:val="FootnoteText"/>
      </w:pPr>
      <w:r>
        <w:rPr>
          <w:rStyle w:val="FootnoteReference"/>
        </w:rPr>
        <w:footnoteRef/>
      </w:r>
      <w:r>
        <w:t xml:space="preserve"> Competition Policy &amp; Research</w:t>
      </w:r>
    </w:p>
  </w:footnote>
  <w:footnote w:id="14">
    <w:p w:rsidR="0059408E" w:rsidRDefault="0059408E">
      <w:pPr>
        <w:pStyle w:val="FootnoteText"/>
      </w:pPr>
      <w:r>
        <w:rPr>
          <w:rStyle w:val="FootnoteReference"/>
        </w:rPr>
        <w:footnoteRef/>
      </w:r>
      <w:r>
        <w:t xml:space="preserve"> Cartels and Trade Abuse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19" w:rsidRDefault="00205A7C">
    <w:pPr>
      <w:pStyle w:val="Header"/>
    </w:pPr>
  </w:p>
  <w:p w:rsidR="009E6919" w:rsidRDefault="00205A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98A"/>
    <w:multiLevelType w:val="hybridMultilevel"/>
    <w:tmpl w:val="E1147E64"/>
    <w:lvl w:ilvl="0" w:tplc="747A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43BE"/>
    <w:multiLevelType w:val="hybridMultilevel"/>
    <w:tmpl w:val="31A6379A"/>
    <w:lvl w:ilvl="0" w:tplc="747AF96E">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0FAC6DBC"/>
    <w:multiLevelType w:val="hybridMultilevel"/>
    <w:tmpl w:val="0F325D0E"/>
    <w:lvl w:ilvl="0" w:tplc="747AF9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D6C5A"/>
    <w:multiLevelType w:val="hybridMultilevel"/>
    <w:tmpl w:val="06787312"/>
    <w:lvl w:ilvl="0" w:tplc="747AF96E">
      <w:start w:val="1"/>
      <w:numFmt w:val="decimal"/>
      <w:lvlText w:val="%1-"/>
      <w:lvlJc w:val="left"/>
      <w:pPr>
        <w:ind w:left="656" w:hanging="360"/>
      </w:pPr>
      <w:rPr>
        <w:rFont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4" w15:restartNumberingAfterBreak="0">
    <w:nsid w:val="18453E50"/>
    <w:multiLevelType w:val="hybridMultilevel"/>
    <w:tmpl w:val="A282D19C"/>
    <w:lvl w:ilvl="0" w:tplc="747AF9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F6CDE"/>
    <w:multiLevelType w:val="hybridMultilevel"/>
    <w:tmpl w:val="B87046A8"/>
    <w:lvl w:ilvl="0" w:tplc="747AF9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F3A88"/>
    <w:multiLevelType w:val="hybridMultilevel"/>
    <w:tmpl w:val="625CCC1C"/>
    <w:lvl w:ilvl="0" w:tplc="747AF96E">
      <w:start w:val="1"/>
      <w:numFmt w:val="decimal"/>
      <w:lvlText w:val="%1-"/>
      <w:lvlJc w:val="left"/>
      <w:pPr>
        <w:ind w:left="656" w:hanging="360"/>
      </w:pPr>
      <w:rPr>
        <w:rFont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7" w15:restartNumberingAfterBreak="0">
    <w:nsid w:val="1E624911"/>
    <w:multiLevelType w:val="hybridMultilevel"/>
    <w:tmpl w:val="C64014EC"/>
    <w:lvl w:ilvl="0" w:tplc="7E9A7E5A">
      <w:numFmt w:val="bullet"/>
      <w:lvlText w:val=""/>
      <w:lvlJc w:val="left"/>
      <w:pPr>
        <w:ind w:left="656" w:hanging="360"/>
      </w:pPr>
      <w:rPr>
        <w:rFonts w:ascii="Symbol" w:eastAsia="Times New Roman" w:hAnsi="Symbol" w:cs="Times New Roman"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8" w15:restartNumberingAfterBreak="0">
    <w:nsid w:val="20F35148"/>
    <w:multiLevelType w:val="hybridMultilevel"/>
    <w:tmpl w:val="1E2E5526"/>
    <w:lvl w:ilvl="0" w:tplc="747AF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6875B8"/>
    <w:multiLevelType w:val="hybridMultilevel"/>
    <w:tmpl w:val="C6509102"/>
    <w:lvl w:ilvl="0" w:tplc="747A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44B5A"/>
    <w:multiLevelType w:val="hybridMultilevel"/>
    <w:tmpl w:val="F5E4DCAC"/>
    <w:lvl w:ilvl="0" w:tplc="747AF9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A902CB"/>
    <w:multiLevelType w:val="hybridMultilevel"/>
    <w:tmpl w:val="938A93F0"/>
    <w:lvl w:ilvl="0" w:tplc="747AF9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11C92"/>
    <w:multiLevelType w:val="hybridMultilevel"/>
    <w:tmpl w:val="AFB0969E"/>
    <w:lvl w:ilvl="0" w:tplc="D98C8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25280"/>
    <w:multiLevelType w:val="hybridMultilevel"/>
    <w:tmpl w:val="749AA00E"/>
    <w:lvl w:ilvl="0" w:tplc="747AF96E">
      <w:start w:val="1"/>
      <w:numFmt w:val="decimal"/>
      <w:lvlText w:val="%1-"/>
      <w:lvlJc w:val="left"/>
      <w:pPr>
        <w:ind w:left="656" w:hanging="360"/>
      </w:pPr>
      <w:rPr>
        <w:rFont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4" w15:restartNumberingAfterBreak="0">
    <w:nsid w:val="38AD7527"/>
    <w:multiLevelType w:val="hybridMultilevel"/>
    <w:tmpl w:val="79A40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34FE"/>
    <w:multiLevelType w:val="hybridMultilevel"/>
    <w:tmpl w:val="4E9C2E30"/>
    <w:lvl w:ilvl="0" w:tplc="747A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F54BB"/>
    <w:multiLevelType w:val="hybridMultilevel"/>
    <w:tmpl w:val="B2CCD5B0"/>
    <w:lvl w:ilvl="0" w:tplc="747AF96E">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17" w15:restartNumberingAfterBreak="0">
    <w:nsid w:val="4EF72591"/>
    <w:multiLevelType w:val="hybridMultilevel"/>
    <w:tmpl w:val="CDEA2FE6"/>
    <w:lvl w:ilvl="0" w:tplc="747AF9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09E7"/>
    <w:multiLevelType w:val="hybridMultilevel"/>
    <w:tmpl w:val="448055C2"/>
    <w:lvl w:ilvl="0" w:tplc="747AF9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42FF8"/>
    <w:multiLevelType w:val="hybridMultilevel"/>
    <w:tmpl w:val="E6A842F0"/>
    <w:lvl w:ilvl="0" w:tplc="747A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10D4A"/>
    <w:multiLevelType w:val="hybridMultilevel"/>
    <w:tmpl w:val="105E53B2"/>
    <w:lvl w:ilvl="0" w:tplc="747AF96E">
      <w:start w:val="1"/>
      <w:numFmt w:val="decimal"/>
      <w:lvlText w:val="%1-"/>
      <w:lvlJc w:val="left"/>
      <w:pPr>
        <w:ind w:left="656" w:hanging="360"/>
      </w:pPr>
      <w:rPr>
        <w:rFont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1" w15:restartNumberingAfterBreak="0">
    <w:nsid w:val="6A3A0088"/>
    <w:multiLevelType w:val="hybridMultilevel"/>
    <w:tmpl w:val="390250DE"/>
    <w:lvl w:ilvl="0" w:tplc="747AF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D37FE4"/>
    <w:multiLevelType w:val="hybridMultilevel"/>
    <w:tmpl w:val="54EC5FD0"/>
    <w:lvl w:ilvl="0" w:tplc="747AF96E">
      <w:start w:val="1"/>
      <w:numFmt w:val="decimal"/>
      <w:lvlText w:val="%1-"/>
      <w:lvlJc w:val="left"/>
      <w:pPr>
        <w:ind w:left="656" w:hanging="360"/>
      </w:pPr>
      <w:rPr>
        <w:rFont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3" w15:restartNumberingAfterBreak="0">
    <w:nsid w:val="6C70537E"/>
    <w:multiLevelType w:val="hybridMultilevel"/>
    <w:tmpl w:val="87FEB748"/>
    <w:lvl w:ilvl="0" w:tplc="747AF96E">
      <w:start w:val="1"/>
      <w:numFmt w:val="decimal"/>
      <w:lvlText w:val="%1-"/>
      <w:lvlJc w:val="left"/>
      <w:pPr>
        <w:ind w:left="656" w:hanging="360"/>
      </w:pPr>
      <w:rPr>
        <w:rFont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4" w15:restartNumberingAfterBreak="0">
    <w:nsid w:val="6E6A1AAA"/>
    <w:multiLevelType w:val="hybridMultilevel"/>
    <w:tmpl w:val="22883118"/>
    <w:lvl w:ilvl="0" w:tplc="747A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0"/>
  </w:num>
  <w:num w:numId="5">
    <w:abstractNumId w:val="16"/>
  </w:num>
  <w:num w:numId="6">
    <w:abstractNumId w:val="5"/>
  </w:num>
  <w:num w:numId="7">
    <w:abstractNumId w:val="22"/>
  </w:num>
  <w:num w:numId="8">
    <w:abstractNumId w:val="18"/>
  </w:num>
  <w:num w:numId="9">
    <w:abstractNumId w:val="13"/>
  </w:num>
  <w:num w:numId="10">
    <w:abstractNumId w:val="20"/>
  </w:num>
  <w:num w:numId="11">
    <w:abstractNumId w:val="11"/>
  </w:num>
  <w:num w:numId="12">
    <w:abstractNumId w:val="8"/>
  </w:num>
  <w:num w:numId="13">
    <w:abstractNumId w:val="24"/>
  </w:num>
  <w:num w:numId="14">
    <w:abstractNumId w:val="19"/>
  </w:num>
  <w:num w:numId="15">
    <w:abstractNumId w:val="10"/>
  </w:num>
  <w:num w:numId="16">
    <w:abstractNumId w:val="4"/>
  </w:num>
  <w:num w:numId="17">
    <w:abstractNumId w:val="17"/>
  </w:num>
  <w:num w:numId="18">
    <w:abstractNumId w:val="9"/>
  </w:num>
  <w:num w:numId="19">
    <w:abstractNumId w:val="2"/>
  </w:num>
  <w:num w:numId="20">
    <w:abstractNumId w:val="6"/>
  </w:num>
  <w:num w:numId="21">
    <w:abstractNumId w:val="3"/>
  </w:num>
  <w:num w:numId="22">
    <w:abstractNumId w:val="23"/>
  </w:num>
  <w:num w:numId="23">
    <w:abstractNumId w:val="1"/>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E4"/>
    <w:rsid w:val="000054E1"/>
    <w:rsid w:val="00015202"/>
    <w:rsid w:val="00023ED8"/>
    <w:rsid w:val="00052A31"/>
    <w:rsid w:val="00055489"/>
    <w:rsid w:val="0007203B"/>
    <w:rsid w:val="0009711C"/>
    <w:rsid w:val="000C06B2"/>
    <w:rsid w:val="000D76B6"/>
    <w:rsid w:val="000F2AB2"/>
    <w:rsid w:val="000F5B49"/>
    <w:rsid w:val="001220D8"/>
    <w:rsid w:val="0013270D"/>
    <w:rsid w:val="00151D0E"/>
    <w:rsid w:val="001724BD"/>
    <w:rsid w:val="001C00B5"/>
    <w:rsid w:val="001C6075"/>
    <w:rsid w:val="00205A7C"/>
    <w:rsid w:val="00230723"/>
    <w:rsid w:val="002478CB"/>
    <w:rsid w:val="0025346E"/>
    <w:rsid w:val="00273AA1"/>
    <w:rsid w:val="002C28BC"/>
    <w:rsid w:val="002C3281"/>
    <w:rsid w:val="002E49CC"/>
    <w:rsid w:val="003001B5"/>
    <w:rsid w:val="00336984"/>
    <w:rsid w:val="00396CE4"/>
    <w:rsid w:val="003C22F7"/>
    <w:rsid w:val="003E53BF"/>
    <w:rsid w:val="003E6BBE"/>
    <w:rsid w:val="00400C61"/>
    <w:rsid w:val="00403E36"/>
    <w:rsid w:val="00405CB7"/>
    <w:rsid w:val="004242E5"/>
    <w:rsid w:val="0043072A"/>
    <w:rsid w:val="004450B2"/>
    <w:rsid w:val="00453E67"/>
    <w:rsid w:val="00457296"/>
    <w:rsid w:val="004B2C8A"/>
    <w:rsid w:val="004C7814"/>
    <w:rsid w:val="005314ED"/>
    <w:rsid w:val="00545AB7"/>
    <w:rsid w:val="00571648"/>
    <w:rsid w:val="005766A8"/>
    <w:rsid w:val="0059408E"/>
    <w:rsid w:val="005976EC"/>
    <w:rsid w:val="005B49F0"/>
    <w:rsid w:val="006409C6"/>
    <w:rsid w:val="00650AFC"/>
    <w:rsid w:val="00652A02"/>
    <w:rsid w:val="00654A8A"/>
    <w:rsid w:val="0066166A"/>
    <w:rsid w:val="00674B07"/>
    <w:rsid w:val="006A41C5"/>
    <w:rsid w:val="006C701B"/>
    <w:rsid w:val="006E479C"/>
    <w:rsid w:val="006F6EDB"/>
    <w:rsid w:val="00716D9D"/>
    <w:rsid w:val="00722791"/>
    <w:rsid w:val="007408A8"/>
    <w:rsid w:val="00746EF4"/>
    <w:rsid w:val="00763634"/>
    <w:rsid w:val="00763683"/>
    <w:rsid w:val="0076702C"/>
    <w:rsid w:val="00790A44"/>
    <w:rsid w:val="007B3221"/>
    <w:rsid w:val="007B5837"/>
    <w:rsid w:val="007D7FF2"/>
    <w:rsid w:val="008039D4"/>
    <w:rsid w:val="00833F02"/>
    <w:rsid w:val="00835935"/>
    <w:rsid w:val="00846964"/>
    <w:rsid w:val="0085506D"/>
    <w:rsid w:val="00893CD7"/>
    <w:rsid w:val="008C679D"/>
    <w:rsid w:val="008E2137"/>
    <w:rsid w:val="00913580"/>
    <w:rsid w:val="009368A4"/>
    <w:rsid w:val="009430F9"/>
    <w:rsid w:val="00975488"/>
    <w:rsid w:val="009966C3"/>
    <w:rsid w:val="009A63FE"/>
    <w:rsid w:val="009A74AE"/>
    <w:rsid w:val="009B07F2"/>
    <w:rsid w:val="009E5836"/>
    <w:rsid w:val="00A14724"/>
    <w:rsid w:val="00A40F8E"/>
    <w:rsid w:val="00A47002"/>
    <w:rsid w:val="00A66D21"/>
    <w:rsid w:val="00A90C0B"/>
    <w:rsid w:val="00AB329E"/>
    <w:rsid w:val="00AB5CD6"/>
    <w:rsid w:val="00B14882"/>
    <w:rsid w:val="00B50D58"/>
    <w:rsid w:val="00B60668"/>
    <w:rsid w:val="00B676A7"/>
    <w:rsid w:val="00B82CFB"/>
    <w:rsid w:val="00BB2595"/>
    <w:rsid w:val="00BB4427"/>
    <w:rsid w:val="00BB6450"/>
    <w:rsid w:val="00BC71C3"/>
    <w:rsid w:val="00BD26ED"/>
    <w:rsid w:val="00BD7A5E"/>
    <w:rsid w:val="00C2187D"/>
    <w:rsid w:val="00C21E75"/>
    <w:rsid w:val="00C30D16"/>
    <w:rsid w:val="00C57E95"/>
    <w:rsid w:val="00C64FC5"/>
    <w:rsid w:val="00C67730"/>
    <w:rsid w:val="00C75AB6"/>
    <w:rsid w:val="00CC2D58"/>
    <w:rsid w:val="00CE23FB"/>
    <w:rsid w:val="00D1455C"/>
    <w:rsid w:val="00D16DE8"/>
    <w:rsid w:val="00D37F4D"/>
    <w:rsid w:val="00D56A6D"/>
    <w:rsid w:val="00D712FD"/>
    <w:rsid w:val="00D80AE6"/>
    <w:rsid w:val="00D9681D"/>
    <w:rsid w:val="00DB32EE"/>
    <w:rsid w:val="00DD7D1E"/>
    <w:rsid w:val="00E11909"/>
    <w:rsid w:val="00E15E9A"/>
    <w:rsid w:val="00E71453"/>
    <w:rsid w:val="00E72C04"/>
    <w:rsid w:val="00E81951"/>
    <w:rsid w:val="00E94DBA"/>
    <w:rsid w:val="00EB40F3"/>
    <w:rsid w:val="00EC5967"/>
    <w:rsid w:val="00ED1019"/>
    <w:rsid w:val="00F04282"/>
    <w:rsid w:val="00F158EA"/>
    <w:rsid w:val="00F24575"/>
    <w:rsid w:val="00F37070"/>
    <w:rsid w:val="00F562F9"/>
    <w:rsid w:val="00F9766F"/>
    <w:rsid w:val="00FA4419"/>
    <w:rsid w:val="00FB3391"/>
    <w:rsid w:val="00FD2CCB"/>
    <w:rsid w:val="00FE210D"/>
    <w:rsid w:val="00FE5F23"/>
    <w:rsid w:val="00FF0067"/>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D5732-FC25-4847-B83F-3778A5B6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4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FA4419"/>
    <w:pPr>
      <w:tabs>
        <w:tab w:val="num" w:pos="2160"/>
      </w:tabs>
      <w:spacing w:after="0" w:line="240" w:lineRule="auto"/>
      <w:ind w:left="720"/>
    </w:pPr>
    <w:rPr>
      <w:rFonts w:ascii="Trebuchet MS" w:eastAsia="Times New Roman" w:hAnsi="Trebuchet MS" w:cs="Times New Roman"/>
      <w:b/>
      <w:color w:val="000000"/>
      <w:sz w:val="24"/>
      <w:szCs w:val="24"/>
    </w:rPr>
  </w:style>
  <w:style w:type="character" w:customStyle="1" w:styleId="SubheadingChar">
    <w:name w:val="Subheading Char"/>
    <w:basedOn w:val="DefaultParagraphFont"/>
    <w:link w:val="Subheading"/>
    <w:rsid w:val="00FA4419"/>
    <w:rPr>
      <w:rFonts w:ascii="Trebuchet MS" w:eastAsia="Times New Roman" w:hAnsi="Trebuchet MS" w:cs="Times New Roman"/>
      <w:b/>
      <w:color w:val="000000"/>
      <w:sz w:val="24"/>
      <w:szCs w:val="24"/>
    </w:rPr>
  </w:style>
  <w:style w:type="paragraph" w:styleId="Header">
    <w:name w:val="header"/>
    <w:basedOn w:val="Normal"/>
    <w:link w:val="HeaderChar"/>
    <w:rsid w:val="00FA4419"/>
    <w:pPr>
      <w:tabs>
        <w:tab w:val="center" w:pos="4680"/>
        <w:tab w:val="right" w:pos="9360"/>
      </w:tabs>
    </w:pPr>
  </w:style>
  <w:style w:type="character" w:customStyle="1" w:styleId="HeaderChar">
    <w:name w:val="Header Char"/>
    <w:basedOn w:val="DefaultParagraphFont"/>
    <w:link w:val="Header"/>
    <w:rsid w:val="00FA4419"/>
    <w:rPr>
      <w:rFonts w:ascii="Times New Roman" w:eastAsia="Times New Roman" w:hAnsi="Times New Roman" w:cs="Times New Roman"/>
      <w:sz w:val="24"/>
      <w:szCs w:val="24"/>
    </w:rPr>
  </w:style>
  <w:style w:type="paragraph" w:styleId="ListParagraph">
    <w:name w:val="List Paragraph"/>
    <w:basedOn w:val="Normal"/>
    <w:uiPriority w:val="34"/>
    <w:qFormat/>
    <w:rsid w:val="00FA4419"/>
    <w:pPr>
      <w:ind w:left="720"/>
      <w:contextualSpacing/>
    </w:pPr>
  </w:style>
  <w:style w:type="paragraph" w:styleId="FootnoteText">
    <w:name w:val="footnote text"/>
    <w:basedOn w:val="Normal"/>
    <w:link w:val="FootnoteTextChar"/>
    <w:uiPriority w:val="99"/>
    <w:semiHidden/>
    <w:unhideWhenUsed/>
    <w:rsid w:val="00CE23FB"/>
    <w:rPr>
      <w:sz w:val="20"/>
      <w:szCs w:val="20"/>
    </w:rPr>
  </w:style>
  <w:style w:type="character" w:customStyle="1" w:styleId="FootnoteTextChar">
    <w:name w:val="Footnote Text Char"/>
    <w:basedOn w:val="DefaultParagraphFont"/>
    <w:link w:val="FootnoteText"/>
    <w:uiPriority w:val="99"/>
    <w:semiHidden/>
    <w:rsid w:val="00CE23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E2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9477">
      <w:bodyDiv w:val="1"/>
      <w:marLeft w:val="0"/>
      <w:marRight w:val="0"/>
      <w:marTop w:val="0"/>
      <w:marBottom w:val="0"/>
      <w:divBdr>
        <w:top w:val="none" w:sz="0" w:space="0" w:color="auto"/>
        <w:left w:val="none" w:sz="0" w:space="0" w:color="auto"/>
        <w:bottom w:val="none" w:sz="0" w:space="0" w:color="auto"/>
        <w:right w:val="none" w:sz="0" w:space="0" w:color="auto"/>
      </w:divBdr>
    </w:div>
    <w:div w:id="364258720">
      <w:bodyDiv w:val="1"/>
      <w:marLeft w:val="0"/>
      <w:marRight w:val="0"/>
      <w:marTop w:val="0"/>
      <w:marBottom w:val="0"/>
      <w:divBdr>
        <w:top w:val="none" w:sz="0" w:space="0" w:color="auto"/>
        <w:left w:val="none" w:sz="0" w:space="0" w:color="auto"/>
        <w:bottom w:val="none" w:sz="0" w:space="0" w:color="auto"/>
        <w:right w:val="none" w:sz="0" w:space="0" w:color="auto"/>
      </w:divBdr>
    </w:div>
    <w:div w:id="457333272">
      <w:bodyDiv w:val="1"/>
      <w:marLeft w:val="0"/>
      <w:marRight w:val="0"/>
      <w:marTop w:val="0"/>
      <w:marBottom w:val="0"/>
      <w:divBdr>
        <w:top w:val="none" w:sz="0" w:space="0" w:color="auto"/>
        <w:left w:val="none" w:sz="0" w:space="0" w:color="auto"/>
        <w:bottom w:val="none" w:sz="0" w:space="0" w:color="auto"/>
        <w:right w:val="none" w:sz="0" w:space="0" w:color="auto"/>
      </w:divBdr>
    </w:div>
    <w:div w:id="1026522837">
      <w:bodyDiv w:val="1"/>
      <w:marLeft w:val="0"/>
      <w:marRight w:val="0"/>
      <w:marTop w:val="0"/>
      <w:marBottom w:val="0"/>
      <w:divBdr>
        <w:top w:val="none" w:sz="0" w:space="0" w:color="auto"/>
        <w:left w:val="none" w:sz="0" w:space="0" w:color="auto"/>
        <w:bottom w:val="none" w:sz="0" w:space="0" w:color="auto"/>
        <w:right w:val="none" w:sz="0" w:space="0" w:color="auto"/>
      </w:divBdr>
    </w:div>
    <w:div w:id="1058555132">
      <w:bodyDiv w:val="1"/>
      <w:marLeft w:val="0"/>
      <w:marRight w:val="0"/>
      <w:marTop w:val="0"/>
      <w:marBottom w:val="0"/>
      <w:divBdr>
        <w:top w:val="none" w:sz="0" w:space="0" w:color="auto"/>
        <w:left w:val="none" w:sz="0" w:space="0" w:color="auto"/>
        <w:bottom w:val="none" w:sz="0" w:space="0" w:color="auto"/>
        <w:right w:val="none" w:sz="0" w:space="0" w:color="auto"/>
      </w:divBdr>
    </w:div>
    <w:div w:id="1627353927">
      <w:bodyDiv w:val="1"/>
      <w:marLeft w:val="0"/>
      <w:marRight w:val="0"/>
      <w:marTop w:val="0"/>
      <w:marBottom w:val="0"/>
      <w:divBdr>
        <w:top w:val="none" w:sz="0" w:space="0" w:color="auto"/>
        <w:left w:val="none" w:sz="0" w:space="0" w:color="auto"/>
        <w:bottom w:val="none" w:sz="0" w:space="0" w:color="auto"/>
        <w:right w:val="none" w:sz="0" w:space="0" w:color="auto"/>
      </w:divBdr>
    </w:div>
    <w:div w:id="1893231000">
      <w:bodyDiv w:val="1"/>
      <w:marLeft w:val="0"/>
      <w:marRight w:val="0"/>
      <w:marTop w:val="0"/>
      <w:marBottom w:val="0"/>
      <w:divBdr>
        <w:top w:val="none" w:sz="0" w:space="0" w:color="auto"/>
        <w:left w:val="none" w:sz="0" w:space="0" w:color="auto"/>
        <w:bottom w:val="none" w:sz="0" w:space="0" w:color="auto"/>
        <w:right w:val="none" w:sz="0" w:space="0" w:color="auto"/>
      </w:divBdr>
    </w:div>
    <w:div w:id="20935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4EF8-C46F-4838-A13F-C7987C76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11</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Riaz Hussain</dc:creator>
  <cp:keywords/>
  <dc:description/>
  <cp:lastModifiedBy>Maryam Hasib</cp:lastModifiedBy>
  <cp:revision>89</cp:revision>
  <dcterms:created xsi:type="dcterms:W3CDTF">2019-07-23T10:07:00Z</dcterms:created>
  <dcterms:modified xsi:type="dcterms:W3CDTF">2019-07-24T08:59:00Z</dcterms:modified>
</cp:coreProperties>
</file>